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before="0" w:after="0"/>
        <w:jc w:val="both"/>
        <w:rPr>
          <w:rFonts w:hint="default" w:ascii="黑体" w:hAnsi="黑体" w:eastAsia="黑体"/>
          <w:b w:val="0"/>
          <w:bCs w:val="0"/>
          <w:szCs w:val="30"/>
          <w:lang w:val="en-US" w:eastAsia="zh-CN"/>
        </w:rPr>
      </w:pPr>
      <w:r>
        <w:rPr>
          <w:rFonts w:hint="eastAsia" w:ascii="黑体" w:hAnsi="黑体" w:eastAsia="黑体"/>
          <w:b w:val="0"/>
          <w:bCs w:val="0"/>
          <w:szCs w:val="30"/>
          <w:lang w:eastAsia="zh-CN"/>
        </w:rPr>
        <w:t>附件</w:t>
      </w:r>
      <w:r>
        <w:rPr>
          <w:rFonts w:hint="eastAsia" w:ascii="黑体" w:hAnsi="黑体" w:eastAsia="黑体"/>
          <w:b w:val="0"/>
          <w:bCs w:val="0"/>
          <w:szCs w:val="30"/>
          <w:lang w:val="en-US" w:eastAsia="zh-CN"/>
        </w:rPr>
        <w:t>4</w:t>
      </w:r>
    </w:p>
    <w:p>
      <w:pPr>
        <w:pStyle w:val="5"/>
        <w:snapToGrid w:val="0"/>
        <w:spacing w:before="0" w:after="0"/>
        <w:rPr>
          <w:rFonts w:hint="eastAsia" w:ascii="黑体" w:hAnsi="黑体" w:eastAsia="黑体"/>
          <w:szCs w:val="30"/>
          <w:lang w:eastAsia="zh-CN"/>
        </w:rPr>
      </w:pPr>
      <w:bookmarkStart w:id="5" w:name="_GoBack"/>
      <w:r>
        <w:rPr>
          <w:rFonts w:hint="eastAsia" w:ascii="黑体" w:hAnsi="黑体" w:eastAsia="黑体"/>
          <w:szCs w:val="30"/>
        </w:rPr>
        <w:t>匈牙利互换奖学金</w:t>
      </w:r>
      <w:r>
        <w:rPr>
          <w:rFonts w:hint="eastAsia" w:ascii="黑体" w:hAnsi="黑体" w:eastAsia="黑体"/>
          <w:szCs w:val="30"/>
          <w:lang w:eastAsia="zh-CN"/>
        </w:rPr>
        <w:t>项目指南</w:t>
      </w:r>
      <w:bookmarkEnd w:id="5"/>
    </w:p>
    <w:p>
      <w:pPr>
        <w:widowControl/>
        <w:snapToGrid w:val="0"/>
        <w:spacing w:line="310" w:lineRule="exact"/>
        <w:ind w:firstLine="482" w:firstLineChars="200"/>
        <w:rPr>
          <w:rFonts w:ascii="黑体" w:hAnsi="黑体" w:eastAsia="黑体" w:cs="Arial"/>
          <w:b/>
          <w:bCs/>
          <w:kern w:val="0"/>
          <w:sz w:val="24"/>
        </w:rPr>
      </w:pPr>
    </w:p>
    <w:p>
      <w:pPr>
        <w:widowControl/>
        <w:snapToGrid w:val="0"/>
        <w:ind w:firstLine="562" w:firstLineChars="200"/>
        <w:rPr>
          <w:rFonts w:hint="eastAsia" w:ascii="黑体" w:hAnsi="黑体" w:eastAsia="黑体" w:cs="Arial"/>
          <w:b/>
          <w:bCs/>
          <w:kern w:val="0"/>
          <w:sz w:val="28"/>
          <w:szCs w:val="28"/>
        </w:rPr>
      </w:pPr>
      <w:r>
        <w:rPr>
          <w:rFonts w:hint="eastAsia" w:ascii="黑体" w:hAnsi="黑体" w:eastAsia="黑体" w:cs="Arial"/>
          <w:b/>
          <w:bCs/>
          <w:kern w:val="0"/>
          <w:sz w:val="28"/>
          <w:szCs w:val="28"/>
        </w:rPr>
        <w:t>一、简介</w:t>
      </w:r>
    </w:p>
    <w:p>
      <w:pPr>
        <w:widowControl/>
        <w:snapToGrid w:val="0"/>
        <w:ind w:firstLine="480" w:firstLineChars="200"/>
        <w:rPr>
          <w:rFonts w:hint="eastAsia" w:ascii="黑体" w:hAnsi="黑体" w:eastAsia="黑体"/>
          <w:kern w:val="0"/>
          <w:sz w:val="24"/>
        </w:rPr>
      </w:pPr>
      <w:r>
        <w:rPr>
          <w:rFonts w:hint="eastAsia" w:ascii="黑体" w:hAnsi="黑体" w:eastAsia="黑体"/>
          <w:kern w:val="0"/>
          <w:sz w:val="24"/>
        </w:rPr>
        <w:t>根据中国与匈牙利互换奖学金交流计划，双方每年互换奖学金留学人员前往对方国学习或研修。</w:t>
      </w:r>
    </w:p>
    <w:p>
      <w:pPr>
        <w:widowControl/>
        <w:snapToGrid w:val="0"/>
        <w:ind w:firstLine="562" w:firstLineChars="200"/>
        <w:rPr>
          <w:rFonts w:hint="eastAsia" w:ascii="黑体" w:hAnsi="黑体" w:eastAsia="黑体" w:cs="Arial"/>
          <w:b/>
          <w:bCs/>
          <w:kern w:val="0"/>
          <w:sz w:val="28"/>
          <w:szCs w:val="28"/>
        </w:rPr>
      </w:pPr>
      <w:r>
        <w:rPr>
          <w:rFonts w:hint="eastAsia" w:ascii="黑体" w:hAnsi="黑体" w:eastAsia="黑体" w:cs="Arial"/>
          <w:b/>
          <w:bCs/>
          <w:kern w:val="0"/>
          <w:sz w:val="28"/>
          <w:szCs w:val="28"/>
        </w:rPr>
        <w:t>二、</w:t>
      </w:r>
      <w:r>
        <w:rPr>
          <w:rFonts w:hint="eastAsia" w:ascii="黑体" w:hAnsi="黑体" w:eastAsia="黑体" w:cs="黑体"/>
          <w:b/>
          <w:bCs/>
          <w:kern w:val="0"/>
          <w:sz w:val="28"/>
          <w:szCs w:val="28"/>
        </w:rPr>
        <w:t>协议内容</w:t>
      </w:r>
    </w:p>
    <w:p>
      <w:pPr>
        <w:widowControl/>
        <w:snapToGrid w:val="0"/>
        <w:ind w:firstLine="480" w:firstLineChars="200"/>
        <w:rPr>
          <w:rFonts w:hint="eastAsia" w:ascii="黑体" w:hAnsi="黑体" w:eastAsia="黑体"/>
          <w:kern w:val="0"/>
          <w:sz w:val="24"/>
        </w:rPr>
      </w:pPr>
      <w:r>
        <w:rPr>
          <w:rFonts w:hint="eastAsia" w:ascii="黑体" w:hAnsi="黑体" w:eastAsia="黑体"/>
          <w:kern w:val="0"/>
          <w:sz w:val="24"/>
        </w:rPr>
        <w:t>1．</w:t>
      </w:r>
      <w:r>
        <w:rPr>
          <w:rFonts w:hint="eastAsia" w:ascii="黑体" w:hAnsi="黑体" w:eastAsia="黑体" w:cs="黑体"/>
          <w:bCs/>
          <w:kern w:val="0"/>
          <w:sz w:val="24"/>
        </w:rPr>
        <w:t>协议名额</w:t>
      </w:r>
    </w:p>
    <w:p>
      <w:pPr>
        <w:adjustRightInd w:val="0"/>
        <w:snapToGrid w:val="0"/>
        <w:ind w:firstLine="480" w:firstLineChars="200"/>
        <w:rPr>
          <w:rFonts w:hint="eastAsia" w:ascii="黑体" w:hAnsi="黑体" w:eastAsia="黑体"/>
          <w:kern w:val="0"/>
          <w:sz w:val="24"/>
        </w:rPr>
      </w:pPr>
      <w:r>
        <w:rPr>
          <w:rFonts w:hint="eastAsia" w:ascii="黑体" w:hAnsi="黑体" w:eastAsia="黑体"/>
          <w:kern w:val="0"/>
          <w:sz w:val="24"/>
        </w:rPr>
        <w:t>200人/年</w:t>
      </w:r>
    </w:p>
    <w:p>
      <w:pPr>
        <w:adjustRightInd w:val="0"/>
        <w:snapToGrid w:val="0"/>
        <w:ind w:firstLine="480" w:firstLineChars="200"/>
        <w:rPr>
          <w:rFonts w:hint="eastAsia" w:ascii="黑体" w:hAnsi="黑体" w:eastAsia="黑体"/>
          <w:kern w:val="0"/>
          <w:sz w:val="24"/>
        </w:rPr>
      </w:pPr>
      <w:r>
        <w:rPr>
          <w:rFonts w:hint="eastAsia" w:ascii="黑体" w:hAnsi="黑体" w:eastAsia="黑体"/>
          <w:kern w:val="0"/>
          <w:sz w:val="24"/>
        </w:rPr>
        <w:t>2．选派类别及留学期限</w:t>
      </w:r>
    </w:p>
    <w:p>
      <w:pPr>
        <w:adjustRightInd w:val="0"/>
        <w:snapToGrid w:val="0"/>
        <w:spacing w:line="310" w:lineRule="exact"/>
        <w:ind w:firstLine="360" w:firstLineChars="150"/>
        <w:rPr>
          <w:rFonts w:hint="eastAsia" w:ascii="黑体" w:hAnsi="黑体" w:eastAsia="黑体"/>
          <w:kern w:val="0"/>
          <w:sz w:val="24"/>
        </w:rPr>
      </w:pPr>
      <w:r>
        <w:rPr>
          <w:rFonts w:hint="eastAsia" w:ascii="黑体" w:hAnsi="黑体" w:eastAsia="黑体"/>
          <w:kern w:val="0"/>
          <w:sz w:val="24"/>
        </w:rPr>
        <w:t>本科生：留学期限为36-48个月（英语或匈语授课，</w:t>
      </w:r>
      <w:r>
        <w:rPr>
          <w:rFonts w:hint="eastAsia" w:ascii="黑体" w:hAnsi="黑体" w:eastAsia="黑体"/>
          <w:kern w:val="0"/>
          <w:sz w:val="24"/>
          <w:lang w:eastAsia="zh-Hans"/>
        </w:rPr>
        <w:t>匈语授课</w:t>
      </w:r>
      <w:r>
        <w:rPr>
          <w:rFonts w:hint="eastAsia" w:ascii="黑体" w:hAnsi="黑体" w:eastAsia="黑体"/>
          <w:kern w:val="0"/>
          <w:sz w:val="24"/>
        </w:rPr>
        <w:t>人员可额外申请一年匈语预科）</w:t>
      </w:r>
    </w:p>
    <w:p>
      <w:pPr>
        <w:adjustRightInd w:val="0"/>
        <w:snapToGrid w:val="0"/>
        <w:spacing w:line="310" w:lineRule="exact"/>
        <w:ind w:firstLine="360" w:firstLineChars="150"/>
        <w:rPr>
          <w:rFonts w:hint="eastAsia" w:ascii="黑体" w:hAnsi="黑体" w:eastAsia="黑体"/>
          <w:kern w:val="0"/>
          <w:sz w:val="24"/>
        </w:rPr>
      </w:pPr>
      <w:r>
        <w:rPr>
          <w:rFonts w:hint="eastAsia" w:ascii="黑体" w:hAnsi="黑体" w:eastAsia="黑体"/>
          <w:kern w:val="0"/>
          <w:sz w:val="24"/>
        </w:rPr>
        <w:t>本硕连读硕士研究生：留学期限为60-72个月（英语或匈语授课，</w:t>
      </w:r>
      <w:r>
        <w:rPr>
          <w:rFonts w:hint="eastAsia" w:ascii="黑体" w:hAnsi="黑体" w:eastAsia="黑体"/>
          <w:kern w:val="0"/>
          <w:sz w:val="24"/>
          <w:lang w:eastAsia="zh-Hans"/>
        </w:rPr>
        <w:t>匈语授课</w:t>
      </w:r>
      <w:r>
        <w:rPr>
          <w:rFonts w:hint="eastAsia" w:ascii="黑体" w:hAnsi="黑体" w:eastAsia="黑体"/>
          <w:kern w:val="0"/>
          <w:sz w:val="24"/>
        </w:rPr>
        <w:t>人员可额外申请一年匈语预科）</w:t>
      </w:r>
    </w:p>
    <w:p>
      <w:pPr>
        <w:adjustRightInd w:val="0"/>
        <w:snapToGrid w:val="0"/>
        <w:spacing w:line="310" w:lineRule="exact"/>
        <w:ind w:firstLine="360" w:firstLineChars="150"/>
        <w:rPr>
          <w:rFonts w:hint="eastAsia" w:ascii="黑体" w:hAnsi="黑体" w:eastAsia="黑体"/>
          <w:kern w:val="0"/>
          <w:sz w:val="24"/>
        </w:rPr>
      </w:pPr>
      <w:r>
        <w:rPr>
          <w:rFonts w:hint="eastAsia" w:ascii="黑体" w:hAnsi="黑体" w:eastAsia="黑体"/>
          <w:kern w:val="0"/>
          <w:sz w:val="24"/>
        </w:rPr>
        <w:t>硕士研究生：留学期限为18-24个月（英语或匈语授课，</w:t>
      </w:r>
      <w:r>
        <w:rPr>
          <w:rFonts w:hint="eastAsia" w:ascii="黑体" w:hAnsi="黑体" w:eastAsia="黑体"/>
          <w:kern w:val="0"/>
          <w:sz w:val="24"/>
          <w:lang w:eastAsia="zh-Hans"/>
        </w:rPr>
        <w:t>匈语授课</w:t>
      </w:r>
      <w:r>
        <w:rPr>
          <w:rFonts w:hint="eastAsia" w:ascii="黑体" w:hAnsi="黑体" w:eastAsia="黑体"/>
          <w:kern w:val="0"/>
          <w:sz w:val="24"/>
        </w:rPr>
        <w:t>人员可额外申请一年匈语预科）</w:t>
      </w:r>
    </w:p>
    <w:p>
      <w:pPr>
        <w:adjustRightInd w:val="0"/>
        <w:snapToGrid w:val="0"/>
        <w:spacing w:line="310" w:lineRule="exact"/>
        <w:ind w:firstLine="360" w:firstLineChars="150"/>
        <w:rPr>
          <w:rFonts w:hint="eastAsia" w:ascii="黑体" w:hAnsi="黑体" w:eastAsia="黑体"/>
          <w:strike/>
          <w:kern w:val="0"/>
          <w:sz w:val="24"/>
        </w:rPr>
      </w:pPr>
      <w:r>
        <w:rPr>
          <w:rFonts w:hint="eastAsia" w:ascii="黑体" w:hAnsi="黑体" w:eastAsia="黑体"/>
          <w:kern w:val="0"/>
          <w:sz w:val="24"/>
        </w:rPr>
        <w:t>博士研究生：留学期限为48个月（英语或匈语授课，</w:t>
      </w:r>
      <w:r>
        <w:rPr>
          <w:rFonts w:hint="eastAsia" w:ascii="黑体" w:hAnsi="黑体" w:eastAsia="黑体"/>
          <w:kern w:val="0"/>
          <w:sz w:val="24"/>
          <w:lang w:eastAsia="zh-Hans"/>
        </w:rPr>
        <w:t>匈语授课</w:t>
      </w:r>
      <w:r>
        <w:rPr>
          <w:rFonts w:hint="eastAsia" w:ascii="黑体" w:hAnsi="黑体" w:eastAsia="黑体"/>
          <w:kern w:val="0"/>
          <w:sz w:val="24"/>
        </w:rPr>
        <w:t>人员可额外申请一年匈语预科）</w:t>
      </w:r>
    </w:p>
    <w:p>
      <w:pPr>
        <w:adjustRightInd w:val="0"/>
        <w:snapToGrid w:val="0"/>
        <w:ind w:firstLine="360" w:firstLineChars="150"/>
        <w:rPr>
          <w:rFonts w:hint="eastAsia" w:ascii="黑体" w:hAnsi="黑体" w:eastAsia="黑体"/>
          <w:kern w:val="0"/>
          <w:sz w:val="24"/>
        </w:rPr>
      </w:pPr>
      <w:r>
        <w:rPr>
          <w:rFonts w:hint="eastAsia" w:ascii="黑体" w:hAnsi="黑体" w:eastAsia="黑体"/>
          <w:kern w:val="0"/>
          <w:sz w:val="24"/>
        </w:rPr>
        <w:t>（网上申报时具体留学期限请以匈方接收院校学制为准，申请匈语预科学习人员，留学期限应在原学制基础上增加12个月，请在学习计划中明确。）</w:t>
      </w:r>
    </w:p>
    <w:p>
      <w:pPr>
        <w:adjustRightInd w:val="0"/>
        <w:snapToGrid w:val="0"/>
        <w:ind w:firstLine="480" w:firstLineChars="200"/>
        <w:rPr>
          <w:rFonts w:hint="eastAsia" w:ascii="黑体" w:hAnsi="黑体" w:eastAsia="黑体"/>
          <w:kern w:val="0"/>
          <w:sz w:val="24"/>
        </w:rPr>
      </w:pPr>
      <w:r>
        <w:rPr>
          <w:rFonts w:hint="eastAsia" w:ascii="黑体" w:hAnsi="黑体" w:eastAsia="黑体"/>
          <w:kern w:val="0"/>
          <w:sz w:val="24"/>
        </w:rPr>
        <w:t>3．选派专业</w:t>
      </w:r>
    </w:p>
    <w:p>
      <w:pPr>
        <w:adjustRightInd w:val="0"/>
        <w:snapToGrid w:val="0"/>
        <w:ind w:firstLine="480" w:firstLineChars="200"/>
        <w:rPr>
          <w:rFonts w:hint="eastAsia" w:ascii="黑体" w:hAnsi="黑体" w:eastAsia="黑体"/>
          <w:kern w:val="0"/>
          <w:sz w:val="24"/>
        </w:rPr>
      </w:pPr>
      <w:r>
        <w:rPr>
          <w:rFonts w:hint="eastAsia" w:ascii="黑体" w:hAnsi="黑体" w:eastAsia="黑体"/>
          <w:kern w:val="0"/>
          <w:sz w:val="24"/>
        </w:rPr>
        <w:t>本科生：农学、艺术与人文、社会科学、计算机与信息技术、法学、经济学、工程</w:t>
      </w:r>
    </w:p>
    <w:p>
      <w:pPr>
        <w:adjustRightInd w:val="0"/>
        <w:snapToGrid w:val="0"/>
        <w:ind w:firstLine="1440" w:firstLineChars="600"/>
        <w:rPr>
          <w:rFonts w:hint="eastAsia" w:ascii="黑体" w:hAnsi="黑体" w:eastAsia="黑体"/>
          <w:kern w:val="0"/>
          <w:sz w:val="24"/>
        </w:rPr>
      </w:pPr>
      <w:r>
        <w:rPr>
          <w:rFonts w:hint="eastAsia" w:ascii="黑体" w:hAnsi="黑体" w:eastAsia="黑体"/>
          <w:kern w:val="0"/>
          <w:sz w:val="24"/>
        </w:rPr>
        <w:t>学、医学、政治学与公共管理、体育、自然科学、艺术、艺术教育等领域</w:t>
      </w:r>
    </w:p>
    <w:p>
      <w:pPr>
        <w:adjustRightInd w:val="0"/>
        <w:snapToGrid w:val="0"/>
        <w:ind w:left="2639" w:leftChars="228" w:hanging="2160" w:hangingChars="900"/>
        <w:rPr>
          <w:rFonts w:hint="eastAsia" w:ascii="黑体" w:hAnsi="黑体" w:eastAsia="黑体"/>
          <w:kern w:val="0"/>
          <w:sz w:val="24"/>
        </w:rPr>
      </w:pPr>
      <w:r>
        <w:rPr>
          <w:rFonts w:hint="eastAsia" w:ascii="黑体" w:hAnsi="黑体" w:eastAsia="黑体"/>
          <w:kern w:val="0"/>
          <w:sz w:val="24"/>
        </w:rPr>
        <w:t>硕士研究生：农学、艺术与人文、社会科学、计算机与信息技术、法学、经济学、</w:t>
      </w:r>
    </w:p>
    <w:p>
      <w:pPr>
        <w:adjustRightInd w:val="0"/>
        <w:snapToGrid w:val="0"/>
        <w:ind w:left="2875" w:leftChars="912" w:hanging="960" w:hangingChars="400"/>
        <w:rPr>
          <w:rFonts w:hint="eastAsia" w:ascii="黑体" w:hAnsi="黑体" w:eastAsia="黑体"/>
          <w:kern w:val="0"/>
          <w:sz w:val="24"/>
        </w:rPr>
      </w:pPr>
      <w:r>
        <w:rPr>
          <w:rFonts w:hint="eastAsia" w:ascii="黑体" w:hAnsi="黑体" w:eastAsia="黑体"/>
          <w:kern w:val="0"/>
          <w:sz w:val="24"/>
        </w:rPr>
        <w:t>工程学、医学、体育、自然科学、艺术、艺术教育、政治学与公共管</w:t>
      </w:r>
    </w:p>
    <w:p>
      <w:pPr>
        <w:adjustRightInd w:val="0"/>
        <w:snapToGrid w:val="0"/>
        <w:ind w:left="2875" w:leftChars="912" w:hanging="960" w:hangingChars="400"/>
        <w:rPr>
          <w:rFonts w:ascii="黑体" w:hAnsi="黑体" w:eastAsia="黑体"/>
          <w:kern w:val="0"/>
          <w:sz w:val="24"/>
        </w:rPr>
      </w:pPr>
      <w:r>
        <w:rPr>
          <w:rFonts w:hint="eastAsia" w:ascii="黑体" w:hAnsi="黑体" w:eastAsia="黑体"/>
          <w:kern w:val="0"/>
          <w:sz w:val="24"/>
        </w:rPr>
        <w:t>理等领域</w:t>
      </w:r>
    </w:p>
    <w:p>
      <w:pPr>
        <w:adjustRightInd w:val="0"/>
        <w:snapToGrid w:val="0"/>
        <w:ind w:firstLine="480" w:firstLineChars="200"/>
        <w:rPr>
          <w:rFonts w:ascii="黑体" w:hAnsi="黑体" w:eastAsia="黑体"/>
          <w:kern w:val="0"/>
          <w:sz w:val="24"/>
        </w:rPr>
      </w:pPr>
      <w:r>
        <w:rPr>
          <w:rFonts w:hint="eastAsia" w:ascii="黑体" w:hAnsi="黑体" w:eastAsia="黑体"/>
          <w:kern w:val="0"/>
          <w:sz w:val="24"/>
        </w:rPr>
        <w:t>本硕连读硕士研究生：农学、工程学、医学、师范、艺术等领域</w:t>
      </w:r>
    </w:p>
    <w:p>
      <w:pPr>
        <w:adjustRightInd w:val="0"/>
        <w:snapToGrid w:val="0"/>
        <w:ind w:firstLine="480" w:firstLineChars="200"/>
        <w:rPr>
          <w:rFonts w:hint="eastAsia" w:ascii="黑体" w:hAnsi="黑体" w:eastAsia="黑体"/>
          <w:kern w:val="0"/>
          <w:sz w:val="24"/>
        </w:rPr>
      </w:pPr>
      <w:r>
        <w:rPr>
          <w:rFonts w:hint="eastAsia" w:ascii="黑体" w:hAnsi="黑体" w:eastAsia="黑体"/>
          <w:kern w:val="0"/>
          <w:sz w:val="24"/>
        </w:rPr>
        <w:t xml:space="preserve">博士研究生：不限 </w:t>
      </w:r>
    </w:p>
    <w:p>
      <w:pPr>
        <w:adjustRightInd w:val="0"/>
        <w:snapToGrid w:val="0"/>
        <w:ind w:firstLine="480" w:firstLineChars="200"/>
        <w:rPr>
          <w:rFonts w:hint="eastAsia" w:ascii="黑体" w:hAnsi="黑体" w:eastAsia="黑体"/>
          <w:kern w:val="0"/>
          <w:sz w:val="24"/>
        </w:rPr>
      </w:pPr>
      <w:r>
        <w:rPr>
          <w:rFonts w:hint="eastAsia" w:ascii="黑体" w:hAnsi="黑体" w:eastAsia="黑体"/>
          <w:kern w:val="0"/>
          <w:sz w:val="24"/>
        </w:rPr>
        <w:t xml:space="preserve"> </w:t>
      </w:r>
    </w:p>
    <w:p>
      <w:pPr>
        <w:adjustRightInd w:val="0"/>
        <w:snapToGrid w:val="0"/>
        <w:ind w:firstLine="480" w:firstLineChars="200"/>
        <w:rPr>
          <w:rFonts w:hint="eastAsia" w:ascii="黑体" w:hAnsi="黑体" w:eastAsia="黑体"/>
          <w:kern w:val="0"/>
          <w:sz w:val="24"/>
        </w:rPr>
      </w:pPr>
      <w:r>
        <w:rPr>
          <w:rFonts w:hint="eastAsia" w:ascii="黑体" w:hAnsi="黑体" w:eastAsia="黑体"/>
          <w:kern w:val="0"/>
          <w:sz w:val="24"/>
        </w:rPr>
        <w:t>4．资助内容</w:t>
      </w:r>
    </w:p>
    <w:p>
      <w:pPr>
        <w:adjustRightInd w:val="0"/>
        <w:snapToGrid w:val="0"/>
        <w:ind w:firstLine="480" w:firstLineChars="200"/>
        <w:rPr>
          <w:rFonts w:hint="eastAsia" w:ascii="黑体" w:hAnsi="黑体" w:eastAsia="黑体"/>
          <w:kern w:val="0"/>
          <w:sz w:val="24"/>
        </w:rPr>
      </w:pPr>
      <w:r>
        <w:rPr>
          <w:rFonts w:hint="eastAsia" w:ascii="黑体" w:hAnsi="黑体" w:eastAsia="黑体"/>
          <w:kern w:val="0"/>
          <w:sz w:val="24"/>
        </w:rPr>
        <w:t>留学期间享受匈牙利政府提供的奖学金，国家留学基金提供互换奖学金出国留学人员补贴及一次往返国际旅费。需参加预科学习的人员，匈方会在奖学金证明中明确，其奖学金身份仅保留到预科课程结束，之后匈方将再出具专业学习阶段的奖学金证明。</w:t>
      </w:r>
    </w:p>
    <w:p>
      <w:pPr>
        <w:widowControl/>
        <w:snapToGrid w:val="0"/>
        <w:ind w:firstLine="562" w:firstLineChars="200"/>
        <w:rPr>
          <w:rFonts w:hint="eastAsia" w:ascii="黑体" w:hAnsi="黑体" w:eastAsia="黑体" w:cs="Arial"/>
          <w:b/>
          <w:bCs/>
          <w:kern w:val="0"/>
          <w:sz w:val="28"/>
          <w:szCs w:val="28"/>
        </w:rPr>
      </w:pPr>
      <w:r>
        <w:rPr>
          <w:rFonts w:hint="eastAsia" w:ascii="黑体" w:hAnsi="黑体" w:eastAsia="黑体" w:cs="Arial"/>
          <w:b/>
          <w:bCs/>
          <w:kern w:val="0"/>
          <w:sz w:val="28"/>
          <w:szCs w:val="28"/>
        </w:rPr>
        <w:t xml:space="preserve">三、申请条件 </w:t>
      </w:r>
    </w:p>
    <w:p>
      <w:pPr>
        <w:snapToGrid w:val="0"/>
        <w:ind w:firstLine="480" w:firstLineChars="200"/>
        <w:rPr>
          <w:rFonts w:ascii="黑体" w:hAnsi="黑体" w:eastAsia="黑体"/>
          <w:strike/>
          <w:sz w:val="24"/>
          <w:lang w:eastAsia="zh-Hans"/>
        </w:rPr>
      </w:pPr>
      <w:r>
        <w:rPr>
          <w:rFonts w:ascii="黑体" w:hAnsi="黑体" w:eastAsia="黑体"/>
          <w:sz w:val="24"/>
        </w:rPr>
        <w:t>1</w:t>
      </w:r>
      <w:r>
        <w:rPr>
          <w:rFonts w:hint="eastAsia" w:ascii="黑体" w:hAnsi="黑体" w:eastAsia="黑体"/>
          <w:sz w:val="24"/>
          <w:lang w:eastAsia="zh-Hans"/>
        </w:rPr>
        <w:t>.</w:t>
      </w:r>
      <w:r>
        <w:rPr>
          <w:rFonts w:ascii="黑体" w:hAnsi="黑体" w:eastAsia="黑体"/>
          <w:sz w:val="24"/>
          <w:lang w:eastAsia="zh-Hans"/>
        </w:rPr>
        <w:t xml:space="preserve"> </w:t>
      </w:r>
      <w:r>
        <w:rPr>
          <w:rFonts w:hint="eastAsia" w:ascii="黑体" w:hAnsi="黑体" w:eastAsia="黑体"/>
          <w:sz w:val="24"/>
        </w:rPr>
        <w:t>符合</w:t>
      </w:r>
      <w:r>
        <w:rPr>
          <w:rFonts w:hint="eastAsia" w:ascii="黑体" w:hAnsi="黑体" w:eastAsia="黑体"/>
          <w:sz w:val="24"/>
          <w:lang w:eastAsia="zh-Hans"/>
        </w:rPr>
        <w:t>当年</w:t>
      </w:r>
      <w:r>
        <w:rPr>
          <w:rFonts w:hint="eastAsia" w:ascii="黑体" w:hAnsi="黑体" w:eastAsia="黑体"/>
          <w:sz w:val="24"/>
        </w:rPr>
        <w:t>《</w:t>
      </w:r>
      <w:r>
        <w:rPr>
          <w:rFonts w:hint="eastAsia" w:ascii="黑体" w:hAnsi="黑体" w:eastAsia="黑体"/>
          <w:sz w:val="24"/>
          <w:u w:val="single"/>
        </w:rPr>
        <w:t>国家留学基金资助出国留学人员选派指南》</w:t>
      </w:r>
      <w:r>
        <w:rPr>
          <w:rFonts w:hint="eastAsia" w:ascii="黑体" w:hAnsi="黑体" w:eastAsia="黑体"/>
          <w:sz w:val="24"/>
        </w:rPr>
        <w:t>中规定的申请条件。</w:t>
      </w:r>
    </w:p>
    <w:p>
      <w:pPr>
        <w:snapToGrid w:val="0"/>
        <w:ind w:firstLine="480" w:firstLineChars="200"/>
        <w:rPr>
          <w:rFonts w:hint="eastAsia" w:ascii="黑体" w:hAnsi="黑体" w:eastAsia="黑体"/>
          <w:sz w:val="24"/>
        </w:rPr>
      </w:pPr>
      <w:r>
        <w:rPr>
          <w:rFonts w:ascii="黑体" w:hAnsi="黑体" w:eastAsia="黑体"/>
          <w:sz w:val="24"/>
        </w:rPr>
        <w:t>2</w:t>
      </w:r>
      <w:r>
        <w:rPr>
          <w:rFonts w:hint="eastAsia" w:ascii="黑体" w:hAnsi="黑体" w:eastAsia="黑体"/>
          <w:sz w:val="24"/>
        </w:rPr>
        <w:t>. 拥护中国共产党的领导和中国特色社会主义制度，热爱祖国、品德良好、遵纪守法，具有服务国家、服务社会、服务人民的责任感和端正的世界观、人生观、价值观。</w:t>
      </w:r>
    </w:p>
    <w:p>
      <w:pPr>
        <w:snapToGrid w:val="0"/>
        <w:ind w:firstLine="480" w:firstLineChars="200"/>
        <w:rPr>
          <w:rFonts w:hint="eastAsia" w:ascii="黑体" w:hAnsi="黑体" w:eastAsia="黑体"/>
          <w:sz w:val="24"/>
        </w:rPr>
      </w:pPr>
      <w:r>
        <w:rPr>
          <w:rFonts w:ascii="黑体" w:hAnsi="黑体" w:eastAsia="黑体"/>
          <w:sz w:val="24"/>
        </w:rPr>
        <w:t xml:space="preserve">3. </w:t>
      </w:r>
      <w:r>
        <w:rPr>
          <w:rFonts w:hint="eastAsia" w:ascii="黑体" w:hAnsi="黑体" w:eastAsia="黑体"/>
          <w:sz w:val="24"/>
        </w:rPr>
        <w:t xml:space="preserve">具有良好专业基础和发展潜力，恪守学术道德、遵守学术规范，在工作、学习中表现突出，具有学成回国为国家建设服务的事业心和使命感。 </w:t>
      </w:r>
    </w:p>
    <w:p>
      <w:pPr>
        <w:snapToGrid w:val="0"/>
        <w:ind w:firstLine="480" w:firstLineChars="200"/>
        <w:rPr>
          <w:rFonts w:ascii="黑体" w:hAnsi="黑体" w:eastAsia="黑体"/>
          <w:sz w:val="24"/>
        </w:rPr>
      </w:pPr>
      <w:r>
        <w:rPr>
          <w:rFonts w:ascii="黑体" w:hAnsi="黑体" w:eastAsia="黑体"/>
          <w:sz w:val="24"/>
        </w:rPr>
        <w:t>4.</w:t>
      </w:r>
      <w:r>
        <w:rPr>
          <w:rFonts w:hint="eastAsia" w:ascii="黑体" w:hAnsi="黑体" w:eastAsia="黑体"/>
          <w:sz w:val="24"/>
        </w:rPr>
        <w:t>具有中华人民共和国国籍，不具有国外永久居留权，申请时年龄满18周岁（</w:t>
      </w:r>
      <w:r>
        <w:rPr>
          <w:rFonts w:ascii="黑体" w:hAnsi="黑体" w:eastAsia="黑体"/>
          <w:sz w:val="24"/>
        </w:rPr>
        <w:t>2007</w:t>
      </w:r>
      <w:r>
        <w:rPr>
          <w:rFonts w:hint="eastAsia" w:ascii="黑体" w:hAnsi="黑体" w:eastAsia="黑体"/>
          <w:sz w:val="24"/>
        </w:rPr>
        <w:t>年</w:t>
      </w:r>
      <w:r>
        <w:rPr>
          <w:rFonts w:ascii="黑体" w:hAnsi="黑体" w:eastAsia="黑体"/>
          <w:sz w:val="24"/>
        </w:rPr>
        <w:t>8</w:t>
      </w:r>
      <w:r>
        <w:rPr>
          <w:rFonts w:hint="eastAsia" w:ascii="黑体" w:hAnsi="黑体" w:eastAsia="黑体"/>
          <w:sz w:val="24"/>
        </w:rPr>
        <w:t>月</w:t>
      </w:r>
      <w:r>
        <w:rPr>
          <w:rFonts w:ascii="黑体" w:hAnsi="黑体" w:eastAsia="黑体"/>
          <w:sz w:val="24"/>
        </w:rPr>
        <w:t>31</w:t>
      </w:r>
      <w:r>
        <w:rPr>
          <w:rFonts w:hint="eastAsia" w:ascii="黑体" w:hAnsi="黑体" w:eastAsia="黑体"/>
          <w:sz w:val="24"/>
        </w:rPr>
        <w:t>日前出生）；</w:t>
      </w:r>
    </w:p>
    <w:p>
      <w:pPr>
        <w:adjustRightInd w:val="0"/>
        <w:snapToGrid w:val="0"/>
        <w:ind w:firstLine="480" w:firstLineChars="200"/>
        <w:rPr>
          <w:rFonts w:ascii="黑体" w:hAnsi="黑体" w:eastAsia="黑体"/>
          <w:sz w:val="24"/>
        </w:rPr>
      </w:pPr>
      <w:r>
        <w:rPr>
          <w:rFonts w:ascii="黑体" w:hAnsi="黑体" w:eastAsia="黑体"/>
          <w:sz w:val="24"/>
        </w:rPr>
        <w:t>5</w:t>
      </w:r>
      <w:r>
        <w:rPr>
          <w:rFonts w:hint="eastAsia" w:ascii="黑体" w:hAnsi="黑体" w:eastAsia="黑体"/>
          <w:sz w:val="24"/>
        </w:rPr>
        <w:t xml:space="preserve">.身体健康，心理健康； </w:t>
      </w:r>
    </w:p>
    <w:p>
      <w:pPr>
        <w:adjustRightInd w:val="0"/>
        <w:snapToGrid w:val="0"/>
        <w:ind w:firstLine="480" w:firstLineChars="200"/>
        <w:rPr>
          <w:rFonts w:hint="eastAsia" w:ascii="黑体" w:hAnsi="黑体" w:eastAsia="黑体"/>
          <w:kern w:val="0"/>
          <w:sz w:val="24"/>
        </w:rPr>
      </w:pPr>
      <w:r>
        <w:rPr>
          <w:rFonts w:ascii="黑体" w:hAnsi="黑体" w:eastAsia="黑体"/>
          <w:kern w:val="0"/>
          <w:sz w:val="24"/>
        </w:rPr>
        <w:t>6.</w:t>
      </w:r>
      <w:r>
        <w:rPr>
          <w:rFonts w:hint="eastAsia" w:ascii="黑体" w:hAnsi="黑体" w:eastAsia="黑体"/>
          <w:kern w:val="0"/>
          <w:sz w:val="24"/>
        </w:rPr>
        <w:t>本科生：本科在读一年级学生。</w:t>
      </w:r>
    </w:p>
    <w:p>
      <w:pPr>
        <w:adjustRightInd w:val="0"/>
        <w:snapToGrid w:val="0"/>
        <w:ind w:firstLine="720" w:firstLineChars="300"/>
        <w:rPr>
          <w:rFonts w:hint="eastAsia" w:ascii="黑体" w:hAnsi="黑体" w:eastAsia="黑体"/>
          <w:kern w:val="0"/>
          <w:sz w:val="24"/>
        </w:rPr>
      </w:pPr>
      <w:r>
        <w:rPr>
          <w:rFonts w:hint="eastAsia" w:ascii="黑体" w:hAnsi="黑体" w:eastAsia="黑体"/>
          <w:kern w:val="0"/>
          <w:sz w:val="24"/>
        </w:rPr>
        <w:t>本硕连读硕士研究生：本科在读一年级学生</w:t>
      </w:r>
      <w:r>
        <w:rPr>
          <w:rFonts w:ascii="黑体" w:hAnsi="黑体" w:eastAsia="黑体"/>
          <w:kern w:val="0"/>
          <w:sz w:val="24"/>
        </w:rPr>
        <w:t>。</w:t>
      </w:r>
    </w:p>
    <w:p>
      <w:pPr>
        <w:adjustRightInd w:val="0"/>
        <w:snapToGrid w:val="0"/>
        <w:ind w:firstLine="720" w:firstLineChars="300"/>
        <w:rPr>
          <w:rFonts w:hint="eastAsia" w:ascii="黑体" w:hAnsi="黑体" w:eastAsia="黑体"/>
          <w:kern w:val="0"/>
          <w:sz w:val="24"/>
        </w:rPr>
      </w:pPr>
      <w:r>
        <w:rPr>
          <w:rFonts w:hint="eastAsia" w:ascii="黑体" w:hAnsi="黑体" w:eastAsia="黑体"/>
          <w:kern w:val="0"/>
          <w:sz w:val="24"/>
        </w:rPr>
        <w:t>硕士研究生：应届本科毕业生。</w:t>
      </w:r>
    </w:p>
    <w:p>
      <w:pPr>
        <w:adjustRightInd w:val="0"/>
        <w:snapToGrid w:val="0"/>
        <w:ind w:firstLine="720" w:firstLineChars="300"/>
        <w:rPr>
          <w:rFonts w:hint="eastAsia" w:ascii="黑体" w:hAnsi="黑体" w:eastAsia="黑体"/>
          <w:kern w:val="0"/>
          <w:sz w:val="24"/>
        </w:rPr>
      </w:pPr>
      <w:r>
        <w:rPr>
          <w:rFonts w:hint="eastAsia" w:ascii="黑体" w:hAnsi="黑体" w:eastAsia="黑体"/>
          <w:kern w:val="0"/>
          <w:sz w:val="24"/>
        </w:rPr>
        <w:t>博士研究生：应届硕士毕业生。</w:t>
      </w:r>
    </w:p>
    <w:p>
      <w:pPr>
        <w:adjustRightInd w:val="0"/>
        <w:snapToGrid w:val="0"/>
        <w:ind w:firstLine="480" w:firstLineChars="200"/>
        <w:rPr>
          <w:rFonts w:hint="eastAsia" w:ascii="黑体" w:hAnsi="黑体" w:eastAsia="黑体"/>
          <w:kern w:val="0"/>
          <w:sz w:val="24"/>
        </w:rPr>
      </w:pPr>
      <w:r>
        <w:rPr>
          <w:rFonts w:ascii="黑体" w:hAnsi="黑体" w:eastAsia="黑体"/>
          <w:kern w:val="0"/>
          <w:sz w:val="24"/>
        </w:rPr>
        <w:t>7.</w:t>
      </w:r>
      <w:r>
        <w:rPr>
          <w:rFonts w:hint="eastAsia" w:ascii="黑体" w:hAnsi="黑体" w:eastAsia="黑体"/>
          <w:kern w:val="0"/>
          <w:sz w:val="24"/>
        </w:rPr>
        <w:t>语言要求</w:t>
      </w:r>
    </w:p>
    <w:p>
      <w:pPr>
        <w:adjustRightInd w:val="0"/>
        <w:snapToGrid w:val="0"/>
        <w:ind w:firstLine="480" w:firstLineChars="200"/>
        <w:rPr>
          <w:rFonts w:hint="eastAsia" w:ascii="黑体" w:hAnsi="黑体" w:eastAsia="黑体"/>
          <w:kern w:val="0"/>
          <w:sz w:val="24"/>
        </w:rPr>
      </w:pPr>
      <w:r>
        <w:rPr>
          <w:rFonts w:hint="eastAsia" w:ascii="黑体" w:hAnsi="黑体" w:eastAsia="黑体"/>
          <w:kern w:val="0"/>
          <w:sz w:val="24"/>
        </w:rPr>
        <w:t>匈方接收院校一般使用英语授课，申请人的英语水平须满足各接收院校的要求并在申报时提交相应语言水平证书（相关要求请登陆</w:t>
      </w:r>
      <w:r>
        <w:rPr>
          <w:rFonts w:ascii="黑体" w:hAnsi="黑体" w:eastAsia="黑体"/>
          <w:kern w:val="0"/>
          <w:sz w:val="24"/>
        </w:rPr>
        <w:t xml:space="preserve"> </w:t>
      </w:r>
      <w:r>
        <w:rPr>
          <w:rFonts w:ascii="黑体" w:hAnsi="黑体" w:eastAsia="黑体"/>
          <w:kern w:val="0"/>
          <w:sz w:val="24"/>
        </w:rPr>
        <w:fldChar w:fldCharType="begin"/>
      </w:r>
      <w:r>
        <w:rPr>
          <w:rFonts w:ascii="黑体" w:hAnsi="黑体" w:eastAsia="黑体"/>
          <w:kern w:val="0"/>
          <w:sz w:val="24"/>
        </w:rPr>
        <w:instrText xml:space="preserve"> HYPERLINK "http://www.stipendiumhungaricum.hu/" </w:instrText>
      </w:r>
      <w:r>
        <w:rPr>
          <w:rFonts w:ascii="黑体" w:hAnsi="黑体" w:eastAsia="黑体"/>
          <w:kern w:val="0"/>
          <w:sz w:val="24"/>
        </w:rPr>
        <w:fldChar w:fldCharType="separate"/>
      </w:r>
      <w:r>
        <w:rPr>
          <w:rFonts w:ascii="黑体" w:hAnsi="黑体" w:eastAsia="黑体"/>
          <w:kern w:val="0"/>
          <w:sz w:val="24"/>
        </w:rPr>
        <w:t>http://www.stipendiumh</w:t>
      </w:r>
      <w:bookmarkStart w:id="0" w:name="_Hlt441149591"/>
      <w:bookmarkStart w:id="1" w:name="_Hlt441149592"/>
      <w:r>
        <w:rPr>
          <w:rFonts w:ascii="黑体" w:hAnsi="黑体" w:eastAsia="黑体"/>
          <w:kern w:val="0"/>
          <w:sz w:val="24"/>
        </w:rPr>
        <w:t>u</w:t>
      </w:r>
      <w:bookmarkEnd w:id="0"/>
      <w:bookmarkEnd w:id="1"/>
      <w:r>
        <w:rPr>
          <w:rFonts w:ascii="黑体" w:hAnsi="黑体" w:eastAsia="黑体"/>
          <w:kern w:val="0"/>
          <w:sz w:val="24"/>
        </w:rPr>
        <w:t>ngaricum.hu/</w:t>
      </w:r>
      <w:r>
        <w:rPr>
          <w:rFonts w:ascii="黑体" w:hAnsi="黑体" w:eastAsia="黑体"/>
          <w:kern w:val="0"/>
          <w:sz w:val="24"/>
        </w:rPr>
        <w:fldChar w:fldCharType="end"/>
      </w:r>
      <w:r>
        <w:rPr>
          <w:rFonts w:hint="eastAsia" w:ascii="黑体" w:hAnsi="黑体" w:eastAsia="黑体"/>
          <w:kern w:val="0"/>
          <w:sz w:val="24"/>
        </w:rPr>
        <w:t>查询）。匈方英语语言要求采用欧洲共同语言参考标准（具体标准请登陆</w:t>
      </w:r>
      <w:r>
        <w:rPr>
          <w:rFonts w:ascii="黑体" w:hAnsi="黑体" w:eastAsia="黑体"/>
          <w:kern w:val="0"/>
          <w:sz w:val="24"/>
        </w:rPr>
        <w:fldChar w:fldCharType="begin"/>
      </w:r>
      <w:r>
        <w:rPr>
          <w:rFonts w:ascii="黑体" w:hAnsi="黑体" w:eastAsia="黑体"/>
          <w:kern w:val="0"/>
          <w:sz w:val="24"/>
        </w:rPr>
        <w:instrText xml:space="preserve"> HYPERLINK "http://www.stipendiumhungaricum.hu/" </w:instrText>
      </w:r>
      <w:r>
        <w:rPr>
          <w:rFonts w:ascii="黑体" w:hAnsi="黑体" w:eastAsia="黑体"/>
          <w:kern w:val="0"/>
          <w:sz w:val="24"/>
        </w:rPr>
        <w:fldChar w:fldCharType="separate"/>
      </w:r>
      <w:r>
        <w:rPr>
          <w:rFonts w:ascii="黑体" w:hAnsi="黑体" w:eastAsia="黑体"/>
          <w:kern w:val="0"/>
          <w:sz w:val="24"/>
        </w:rPr>
        <w:t>http://www.stipendiumhungaricum.hu/</w:t>
      </w:r>
      <w:r>
        <w:rPr>
          <w:rFonts w:ascii="黑体" w:hAnsi="黑体" w:eastAsia="黑体"/>
          <w:kern w:val="0"/>
          <w:sz w:val="24"/>
        </w:rPr>
        <w:fldChar w:fldCharType="end"/>
      </w:r>
      <w:r>
        <w:rPr>
          <w:rFonts w:hint="eastAsia" w:ascii="黑体" w:hAnsi="黑体" w:eastAsia="黑体"/>
          <w:kern w:val="0"/>
          <w:sz w:val="24"/>
        </w:rPr>
        <w:t xml:space="preserve">查询），层级从A1至C2，大部分接收院校要求为B2级，其对应iBT托福成绩为90分,PBT托福成绩为550分、剑桥英语证书“B”级、雅思5.0分； </w:t>
      </w:r>
    </w:p>
    <w:p>
      <w:pPr>
        <w:adjustRightInd w:val="0"/>
        <w:snapToGrid w:val="0"/>
        <w:ind w:firstLine="480" w:firstLineChars="200"/>
        <w:rPr>
          <w:rFonts w:hint="eastAsia" w:ascii="黑体" w:hAnsi="黑体" w:eastAsia="黑体"/>
          <w:kern w:val="0"/>
          <w:sz w:val="24"/>
        </w:rPr>
      </w:pPr>
      <w:r>
        <w:rPr>
          <w:rFonts w:hint="eastAsia" w:ascii="黑体" w:hAnsi="黑体" w:eastAsia="黑体"/>
          <w:kern w:val="0"/>
          <w:sz w:val="24"/>
        </w:rPr>
        <w:t>申请使用匈牙利语作为授课语言</w:t>
      </w:r>
      <w:r>
        <w:rPr>
          <w:rFonts w:hint="eastAsia" w:ascii="黑体" w:hAnsi="黑体" w:eastAsia="黑体"/>
          <w:kern w:val="0"/>
          <w:sz w:val="24"/>
          <w:lang w:eastAsia="zh-Hans"/>
        </w:rPr>
        <w:t>且匈语水平未达到入学要求的</w:t>
      </w:r>
      <w:r>
        <w:rPr>
          <w:rFonts w:ascii="黑体" w:hAnsi="黑体" w:eastAsia="黑体"/>
          <w:kern w:val="0"/>
          <w:sz w:val="24"/>
          <w:lang w:eastAsia="zh-Hans"/>
        </w:rPr>
        <w:t>，</w:t>
      </w:r>
      <w:r>
        <w:rPr>
          <w:rFonts w:hint="eastAsia" w:ascii="黑体" w:hAnsi="黑体" w:eastAsia="黑体"/>
          <w:kern w:val="0"/>
          <w:sz w:val="24"/>
        </w:rPr>
        <w:t>须进行为期一年的匈语预科学习，一年后通过匈方语言考试并获得入学资格的留学人员方可进入专业课程学习；如未通过，奖学金终止并根据规定按期回国。</w:t>
      </w:r>
    </w:p>
    <w:p>
      <w:pPr>
        <w:adjustRightInd w:val="0"/>
        <w:snapToGrid w:val="0"/>
        <w:ind w:firstLine="480" w:firstLineChars="200"/>
        <w:rPr>
          <w:rFonts w:hint="eastAsia" w:ascii="黑体" w:hAnsi="黑体" w:eastAsia="黑体"/>
          <w:kern w:val="0"/>
          <w:sz w:val="24"/>
        </w:rPr>
      </w:pPr>
      <w:r>
        <w:rPr>
          <w:rFonts w:ascii="黑体" w:hAnsi="黑体" w:eastAsia="黑体"/>
          <w:kern w:val="0"/>
          <w:sz w:val="24"/>
        </w:rPr>
        <w:t>8.</w:t>
      </w:r>
      <w:r>
        <w:rPr>
          <w:rFonts w:hint="eastAsia" w:ascii="黑体" w:hAnsi="黑体" w:eastAsia="黑体"/>
          <w:kern w:val="0"/>
          <w:sz w:val="24"/>
        </w:rPr>
        <w:t>其他要求</w:t>
      </w:r>
    </w:p>
    <w:p>
      <w:pPr>
        <w:adjustRightInd w:val="0"/>
        <w:snapToGrid w:val="0"/>
        <w:ind w:firstLine="480" w:firstLineChars="200"/>
        <w:rPr>
          <w:rFonts w:ascii="黑体" w:hAnsi="黑体" w:eastAsia="黑体"/>
          <w:kern w:val="0"/>
          <w:sz w:val="24"/>
        </w:rPr>
      </w:pPr>
      <w:r>
        <w:rPr>
          <w:rFonts w:hint="eastAsia" w:ascii="黑体" w:hAnsi="黑体" w:eastAsia="黑体"/>
          <w:kern w:val="0"/>
          <w:sz w:val="24"/>
        </w:rPr>
        <w:t>申请人可选留学院校、留学专业、授课语言及语言水平要求、学位学历要求、留学院校联系人及联系方式、留学院校网址链接等相关信息请登陆</w:t>
      </w:r>
      <w:r>
        <w:rPr>
          <w:rFonts w:ascii="黑体" w:hAnsi="黑体" w:eastAsia="黑体"/>
          <w:kern w:val="0"/>
          <w:sz w:val="24"/>
        </w:rPr>
        <w:fldChar w:fldCharType="begin"/>
      </w:r>
      <w:r>
        <w:rPr>
          <w:rFonts w:ascii="黑体" w:hAnsi="黑体" w:eastAsia="黑体"/>
          <w:kern w:val="0"/>
          <w:sz w:val="24"/>
        </w:rPr>
        <w:instrText xml:space="preserve"> HYPERLINK "http://www.stipendiumhungaricum.hu/" </w:instrText>
      </w:r>
      <w:r>
        <w:rPr>
          <w:rFonts w:ascii="黑体" w:hAnsi="黑体" w:eastAsia="黑体"/>
          <w:kern w:val="0"/>
          <w:sz w:val="24"/>
        </w:rPr>
        <w:fldChar w:fldCharType="separate"/>
      </w:r>
      <w:r>
        <w:rPr>
          <w:rFonts w:ascii="黑体" w:hAnsi="黑体" w:eastAsia="黑体"/>
          <w:kern w:val="0"/>
          <w:sz w:val="24"/>
        </w:rPr>
        <w:t>http://www.stipendiumhu</w:t>
      </w:r>
      <w:bookmarkStart w:id="2" w:name="_Hlt438560749"/>
      <w:bookmarkStart w:id="3" w:name="_Hlt438560750"/>
      <w:r>
        <w:rPr>
          <w:rFonts w:ascii="黑体" w:hAnsi="黑体" w:eastAsia="黑体"/>
          <w:kern w:val="0"/>
          <w:sz w:val="24"/>
        </w:rPr>
        <w:t>n</w:t>
      </w:r>
      <w:bookmarkEnd w:id="2"/>
      <w:bookmarkEnd w:id="3"/>
      <w:r>
        <w:rPr>
          <w:rFonts w:ascii="黑体" w:hAnsi="黑体" w:eastAsia="黑体"/>
          <w:kern w:val="0"/>
          <w:sz w:val="24"/>
        </w:rPr>
        <w:t>g</w:t>
      </w:r>
      <w:bookmarkStart w:id="4" w:name="_Hlt438560767"/>
      <w:r>
        <w:rPr>
          <w:rFonts w:ascii="黑体" w:hAnsi="黑体" w:eastAsia="黑体"/>
          <w:kern w:val="0"/>
          <w:sz w:val="24"/>
        </w:rPr>
        <w:t>a</w:t>
      </w:r>
      <w:bookmarkEnd w:id="4"/>
      <w:r>
        <w:rPr>
          <w:rFonts w:ascii="黑体" w:hAnsi="黑体" w:eastAsia="黑体"/>
          <w:kern w:val="0"/>
          <w:sz w:val="24"/>
        </w:rPr>
        <w:t>ricum.hu/</w:t>
      </w:r>
      <w:r>
        <w:rPr>
          <w:rFonts w:ascii="黑体" w:hAnsi="黑体" w:eastAsia="黑体"/>
          <w:kern w:val="0"/>
          <w:sz w:val="24"/>
        </w:rPr>
        <w:fldChar w:fldCharType="end"/>
      </w:r>
      <w:r>
        <w:rPr>
          <w:rFonts w:hint="eastAsia" w:ascii="黑体" w:hAnsi="黑体" w:eastAsia="黑体"/>
          <w:kern w:val="0"/>
          <w:sz w:val="24"/>
        </w:rPr>
        <w:t>查询。</w:t>
      </w:r>
    </w:p>
    <w:p>
      <w:pPr>
        <w:adjustRightInd w:val="0"/>
        <w:snapToGrid w:val="0"/>
        <w:ind w:firstLine="480" w:firstLineChars="200"/>
        <w:rPr>
          <w:rFonts w:ascii="黑体" w:hAnsi="黑体" w:eastAsia="黑体"/>
          <w:sz w:val="24"/>
        </w:rPr>
      </w:pPr>
      <w:r>
        <w:rPr>
          <w:rFonts w:hint="eastAsia" w:ascii="黑体" w:hAnsi="黑体" w:eastAsia="黑体"/>
          <w:sz w:val="24"/>
        </w:rPr>
        <w:t>申请人在匈高校注册时应年满18岁（</w:t>
      </w:r>
      <w:r>
        <w:rPr>
          <w:rFonts w:ascii="黑体" w:hAnsi="黑体" w:eastAsia="黑体"/>
          <w:sz w:val="24"/>
        </w:rPr>
        <w:t>2007</w:t>
      </w:r>
      <w:r>
        <w:rPr>
          <w:rFonts w:hint="eastAsia" w:ascii="黑体" w:hAnsi="黑体" w:eastAsia="黑体"/>
          <w:sz w:val="24"/>
        </w:rPr>
        <w:t>年8月31日以前出生）。</w:t>
      </w:r>
    </w:p>
    <w:p>
      <w:pPr>
        <w:adjustRightInd w:val="0"/>
        <w:snapToGrid w:val="0"/>
        <w:ind w:firstLine="480" w:firstLineChars="200"/>
        <w:rPr>
          <w:rFonts w:ascii="黑体" w:hAnsi="黑体" w:eastAsia="黑体"/>
          <w:kern w:val="0"/>
          <w:sz w:val="24"/>
        </w:rPr>
      </w:pPr>
      <w:r>
        <w:rPr>
          <w:rFonts w:hint="eastAsia" w:ascii="黑体" w:hAnsi="黑体" w:eastAsia="黑体"/>
          <w:kern w:val="0"/>
          <w:sz w:val="24"/>
        </w:rPr>
        <w:t>本科生、（本硕连读）硕士研究生申请人无须提交匈方邀请函或录取通知书；</w:t>
      </w:r>
      <w:r>
        <w:rPr>
          <w:rFonts w:hint="eastAsia" w:ascii="黑体" w:hAnsi="黑体" w:eastAsia="黑体"/>
          <w:b/>
          <w:kern w:val="0"/>
          <w:sz w:val="24"/>
        </w:rPr>
        <w:t>博士研究生申请人必须提交国外导师邀请信。</w:t>
      </w:r>
    </w:p>
    <w:p>
      <w:pPr>
        <w:widowControl/>
        <w:snapToGrid w:val="0"/>
        <w:ind w:firstLine="562" w:firstLineChars="200"/>
        <w:rPr>
          <w:rFonts w:hint="eastAsia" w:ascii="黑体" w:hAnsi="黑体" w:eastAsia="黑体" w:cs="Arial"/>
          <w:b/>
          <w:bCs/>
          <w:kern w:val="0"/>
          <w:sz w:val="28"/>
          <w:szCs w:val="28"/>
        </w:rPr>
      </w:pPr>
      <w:r>
        <w:rPr>
          <w:rFonts w:hint="eastAsia" w:ascii="黑体" w:hAnsi="黑体" w:eastAsia="黑体" w:cs="Arial"/>
          <w:b/>
          <w:bCs/>
          <w:kern w:val="0"/>
          <w:sz w:val="28"/>
          <w:szCs w:val="28"/>
        </w:rPr>
        <w:t>四、选拔办法</w:t>
      </w:r>
    </w:p>
    <w:p>
      <w:pPr>
        <w:widowControl/>
        <w:snapToGrid w:val="0"/>
        <w:ind w:firstLine="480" w:firstLineChars="200"/>
        <w:rPr>
          <w:rFonts w:hint="eastAsia" w:ascii="黑体" w:hAnsi="黑体" w:eastAsia="黑体"/>
          <w:kern w:val="0"/>
          <w:sz w:val="24"/>
        </w:rPr>
      </w:pPr>
      <w:r>
        <w:rPr>
          <w:rFonts w:hint="eastAsia" w:ascii="黑体" w:hAnsi="黑体" w:eastAsia="黑体"/>
          <w:kern w:val="0"/>
          <w:sz w:val="24"/>
        </w:rPr>
        <w:t>1.申请时间及方式</w:t>
      </w:r>
    </w:p>
    <w:p>
      <w:pPr>
        <w:widowControl/>
        <w:snapToGrid w:val="0"/>
        <w:ind w:firstLine="480" w:firstLineChars="200"/>
        <w:rPr>
          <w:rFonts w:hint="eastAsia" w:ascii="黑体" w:hAnsi="黑体" w:eastAsia="黑体"/>
          <w:kern w:val="0"/>
          <w:sz w:val="24"/>
        </w:rPr>
      </w:pPr>
      <w:r>
        <w:rPr>
          <w:rFonts w:hint="eastAsia" w:ascii="黑体" w:hAnsi="黑体" w:eastAsia="黑体"/>
          <w:kern w:val="0"/>
          <w:sz w:val="24"/>
        </w:rPr>
        <w:t>申请人经所在单位审核同意后，于</w:t>
      </w:r>
      <w:r>
        <w:rPr>
          <w:rFonts w:ascii="黑体" w:hAnsi="黑体" w:eastAsia="黑体"/>
          <w:kern w:val="0"/>
          <w:sz w:val="24"/>
        </w:rPr>
        <w:t>202</w:t>
      </w:r>
      <w:r>
        <w:rPr>
          <w:rFonts w:hint="eastAsia" w:ascii="黑体" w:hAnsi="黑体" w:eastAsia="黑体"/>
          <w:kern w:val="0"/>
          <w:sz w:val="24"/>
        </w:rPr>
        <w:t>4年12月5日-19日登陆国家公派留学管理信息平台</w:t>
      </w:r>
      <w:r>
        <w:rPr>
          <w:rFonts w:hint="eastAsia" w:ascii="黑体" w:hAnsi="仿宋" w:eastAsia="黑体"/>
          <w:kern w:val="0"/>
          <w:sz w:val="24"/>
        </w:rPr>
        <w:t>（</w:t>
      </w:r>
      <w:r>
        <w:rPr>
          <w:rFonts w:hint="eastAsia" w:ascii="黑体" w:hAnsi="仿宋" w:eastAsia="黑体"/>
          <w:kern w:val="0"/>
          <w:sz w:val="24"/>
          <w:u w:val="single"/>
        </w:rPr>
        <w:t>https://sa.csc.edu.cn/student</w:t>
      </w:r>
      <w:r>
        <w:rPr>
          <w:rFonts w:hint="eastAsia" w:ascii="黑体" w:hAnsi="仿宋" w:eastAsia="黑体"/>
          <w:kern w:val="0"/>
          <w:sz w:val="24"/>
        </w:rPr>
        <w:t>）</w:t>
      </w:r>
      <w:r>
        <w:rPr>
          <w:rFonts w:hint="eastAsia" w:ascii="黑体" w:hAnsi="黑体" w:eastAsia="黑体"/>
          <w:kern w:val="0"/>
          <w:sz w:val="24"/>
        </w:rPr>
        <w:t>进行网上报名，并向国家留学基金受理单位提交申请材料。</w:t>
      </w:r>
    </w:p>
    <w:p>
      <w:pPr>
        <w:widowControl/>
        <w:adjustRightInd w:val="0"/>
        <w:ind w:firstLine="480" w:firstLineChars="200"/>
        <w:jc w:val="left"/>
        <w:rPr>
          <w:rFonts w:hint="eastAsia" w:ascii="黑体" w:hAnsi="黑体" w:eastAsia="黑体"/>
          <w:kern w:val="0"/>
          <w:sz w:val="24"/>
        </w:rPr>
      </w:pPr>
      <w:r>
        <w:rPr>
          <w:rFonts w:hint="eastAsia" w:ascii="黑体" w:hAnsi="黑体" w:eastAsia="黑体"/>
          <w:kern w:val="0"/>
          <w:sz w:val="24"/>
        </w:rPr>
        <w:t>推选单位需对申请人的政治思想、师德师风</w:t>
      </w:r>
      <w:r>
        <w:rPr>
          <w:rFonts w:ascii="黑体" w:hAnsi="黑体" w:eastAsia="黑体"/>
          <w:kern w:val="0"/>
          <w:sz w:val="24"/>
        </w:rPr>
        <w:t>/品行学风等严格把关，并在申请表主表单位推荐意见栏中对上述表现做出评价。</w:t>
      </w:r>
    </w:p>
    <w:p>
      <w:pPr>
        <w:snapToGrid w:val="0"/>
        <w:ind w:firstLine="480" w:firstLineChars="200"/>
        <w:rPr>
          <w:rFonts w:hint="eastAsia" w:ascii="黑体" w:hAnsi="黑体" w:eastAsia="黑体"/>
          <w:kern w:val="0"/>
          <w:sz w:val="24"/>
        </w:rPr>
      </w:pPr>
      <w:r>
        <w:rPr>
          <w:rFonts w:hint="eastAsia" w:ascii="黑体" w:hAnsi="黑体" w:eastAsia="黑体"/>
          <w:kern w:val="0"/>
          <w:sz w:val="24"/>
        </w:rPr>
        <w:t>2.申请受理方式</w:t>
      </w:r>
    </w:p>
    <w:p>
      <w:pPr>
        <w:snapToGrid w:val="0"/>
        <w:ind w:firstLine="480" w:firstLineChars="200"/>
        <w:rPr>
          <w:rFonts w:ascii="黑体" w:hAnsi="黑体" w:eastAsia="黑体"/>
          <w:kern w:val="0"/>
          <w:sz w:val="24"/>
        </w:rPr>
      </w:pPr>
      <w:r>
        <w:rPr>
          <w:rFonts w:hint="eastAsia" w:ascii="黑体" w:hAnsi="黑体" w:eastAsia="黑体"/>
          <w:kern w:val="0"/>
          <w:sz w:val="24"/>
        </w:rPr>
        <w:t>国家</w:t>
      </w:r>
      <w:r>
        <w:rPr>
          <w:rFonts w:ascii="黑体" w:hAnsi="黑体" w:eastAsia="黑体"/>
          <w:kern w:val="0"/>
          <w:sz w:val="24"/>
        </w:rPr>
        <w:t>留学</w:t>
      </w:r>
      <w:r>
        <w:rPr>
          <w:rFonts w:hint="eastAsia" w:ascii="黑体" w:hAnsi="黑体" w:eastAsia="黑体"/>
          <w:kern w:val="0"/>
          <w:sz w:val="24"/>
        </w:rPr>
        <w:t>基金委</w:t>
      </w:r>
      <w:r>
        <w:rPr>
          <w:rFonts w:ascii="黑体" w:hAnsi="黑体" w:eastAsia="黑体"/>
          <w:kern w:val="0"/>
          <w:sz w:val="24"/>
        </w:rPr>
        <w:t>委托各受理</w:t>
      </w:r>
      <w:r>
        <w:rPr>
          <w:rFonts w:hint="eastAsia" w:ascii="黑体" w:hAnsi="黑体" w:eastAsia="黑体"/>
          <w:kern w:val="0"/>
          <w:sz w:val="24"/>
        </w:rPr>
        <w:t>单位统一</w:t>
      </w:r>
      <w:r>
        <w:rPr>
          <w:rFonts w:ascii="黑体" w:hAnsi="黑体" w:eastAsia="黑体"/>
          <w:kern w:val="0"/>
          <w:sz w:val="24"/>
        </w:rPr>
        <w:t>受理本地区（</w:t>
      </w:r>
      <w:r>
        <w:rPr>
          <w:rFonts w:hint="eastAsia" w:ascii="黑体" w:hAnsi="黑体" w:eastAsia="黑体"/>
          <w:kern w:val="0"/>
          <w:sz w:val="24"/>
        </w:rPr>
        <w:t>单位、</w:t>
      </w:r>
      <w:r>
        <w:rPr>
          <w:rFonts w:ascii="黑体" w:hAnsi="黑体" w:eastAsia="黑体"/>
          <w:kern w:val="0"/>
          <w:sz w:val="24"/>
        </w:rPr>
        <w:t>部门）</w:t>
      </w:r>
      <w:r>
        <w:rPr>
          <w:rFonts w:hint="eastAsia" w:ascii="黑体" w:hAnsi="黑体" w:eastAsia="黑体"/>
          <w:kern w:val="0"/>
          <w:sz w:val="24"/>
        </w:rPr>
        <w:t>的</w:t>
      </w:r>
      <w:r>
        <w:rPr>
          <w:rFonts w:ascii="黑体" w:hAnsi="黑体" w:eastAsia="黑体"/>
          <w:kern w:val="0"/>
          <w:sz w:val="24"/>
        </w:rPr>
        <w:t>申请。国家留学基金委</w:t>
      </w:r>
      <w:r>
        <w:rPr>
          <w:rFonts w:hint="eastAsia" w:ascii="黑体" w:hAnsi="黑体" w:eastAsia="黑体"/>
          <w:kern w:val="0"/>
          <w:sz w:val="24"/>
        </w:rPr>
        <w:t>不</w:t>
      </w:r>
      <w:r>
        <w:rPr>
          <w:rFonts w:ascii="黑体" w:hAnsi="黑体" w:eastAsia="黑体"/>
          <w:kern w:val="0"/>
          <w:sz w:val="24"/>
        </w:rPr>
        <w:t>直接受理个人申请。</w:t>
      </w:r>
    </w:p>
    <w:p>
      <w:pPr>
        <w:adjustRightInd w:val="0"/>
        <w:snapToGrid w:val="0"/>
        <w:ind w:firstLine="480" w:firstLineChars="200"/>
        <w:rPr>
          <w:rFonts w:ascii="黑体" w:hAnsi="黑体" w:eastAsia="黑体" w:cs="Helvetica"/>
          <w:color w:val="000000"/>
          <w:sz w:val="24"/>
          <w:shd w:val="clear" w:color="auto" w:fill="FFFFFF"/>
        </w:rPr>
      </w:pPr>
      <w:r>
        <w:rPr>
          <w:rFonts w:hint="eastAsia" w:ascii="黑体" w:hAnsi="黑体" w:eastAsia="黑体"/>
          <w:kern w:val="0"/>
          <w:sz w:val="24"/>
        </w:rPr>
        <w:t>各受理单位应对申请人提交的材料进行审核，对拟推荐人选进行公示后，于12月26日前</w:t>
      </w:r>
      <w:r>
        <w:rPr>
          <w:rFonts w:ascii="黑体" w:hAnsi="黑体" w:eastAsia="黑体" w:cs="Helvetica"/>
          <w:color w:val="000000"/>
          <w:sz w:val="24"/>
          <w:shd w:val="clear" w:color="auto" w:fill="FFFFFF"/>
        </w:rPr>
        <w:t>完成线上审核、推荐及上报工作，通过信息平台提交推荐公函、推荐人员名单至国家留学基金委，无</w:t>
      </w:r>
      <w:r>
        <w:rPr>
          <w:rFonts w:hint="eastAsia" w:ascii="黑体" w:hAnsi="黑体" w:eastAsia="黑体" w:cs="Helvetica"/>
          <w:color w:val="000000"/>
          <w:sz w:val="24"/>
          <w:shd w:val="clear" w:color="auto" w:fill="FFFFFF"/>
        </w:rPr>
        <w:t>须再</w:t>
      </w:r>
      <w:r>
        <w:rPr>
          <w:rFonts w:ascii="黑体" w:hAnsi="黑体" w:eastAsia="黑体" w:cs="Helvetica"/>
          <w:color w:val="000000"/>
          <w:sz w:val="24"/>
          <w:shd w:val="clear" w:color="auto" w:fill="FFFFFF"/>
        </w:rPr>
        <w:t>提交书面材料。</w:t>
      </w:r>
    </w:p>
    <w:p>
      <w:pPr>
        <w:adjustRightInd w:val="0"/>
        <w:snapToGrid w:val="0"/>
        <w:ind w:firstLine="480" w:firstLineChars="200"/>
        <w:rPr>
          <w:rFonts w:hint="eastAsia" w:ascii="黑体" w:hAnsi="黑体" w:eastAsia="黑体"/>
          <w:kern w:val="0"/>
          <w:sz w:val="24"/>
        </w:rPr>
      </w:pPr>
      <w:r>
        <w:rPr>
          <w:rFonts w:hint="eastAsia" w:ascii="黑体" w:hAnsi="黑体" w:eastAsia="黑体" w:cs="Helvetica"/>
          <w:color w:val="000000"/>
          <w:sz w:val="24"/>
          <w:shd w:val="clear" w:color="auto" w:fill="FFFFFF"/>
        </w:rPr>
        <w:t>申请人</w:t>
      </w:r>
      <w:r>
        <w:rPr>
          <w:rFonts w:hint="eastAsia" w:ascii="黑体" w:hAnsi="黑体" w:eastAsia="黑体"/>
          <w:kern w:val="0"/>
          <w:sz w:val="24"/>
        </w:rPr>
        <w:t>网报时</w:t>
      </w:r>
      <w:r>
        <w:rPr>
          <w:rFonts w:ascii="黑体" w:hAnsi="黑体" w:eastAsia="黑体"/>
          <w:kern w:val="0"/>
          <w:sz w:val="24"/>
        </w:rPr>
        <w:t>“</w:t>
      </w:r>
      <w:r>
        <w:rPr>
          <w:rFonts w:hint="eastAsia" w:ascii="黑体" w:hAnsi="黑体" w:eastAsia="黑体"/>
          <w:kern w:val="0"/>
          <w:sz w:val="24"/>
        </w:rPr>
        <w:t>申报</w:t>
      </w:r>
      <w:r>
        <w:rPr>
          <w:rFonts w:ascii="黑体" w:hAnsi="黑体" w:eastAsia="黑体"/>
          <w:kern w:val="0"/>
          <w:sz w:val="24"/>
        </w:rPr>
        <w:t>项目名称”</w:t>
      </w:r>
      <w:r>
        <w:rPr>
          <w:rFonts w:hint="eastAsia" w:ascii="黑体" w:hAnsi="黑体" w:eastAsia="黑体"/>
          <w:kern w:val="0"/>
          <w:sz w:val="24"/>
        </w:rPr>
        <w:t>选择</w:t>
      </w:r>
      <w:r>
        <w:rPr>
          <w:rFonts w:ascii="黑体" w:hAnsi="黑体" w:eastAsia="黑体"/>
          <w:kern w:val="0"/>
          <w:sz w:val="24"/>
        </w:rPr>
        <w:t>“</w:t>
      </w:r>
      <w:r>
        <w:rPr>
          <w:rFonts w:hint="eastAsia" w:ascii="黑体" w:hAnsi="黑体" w:eastAsia="黑体"/>
          <w:kern w:val="0"/>
          <w:sz w:val="24"/>
        </w:rPr>
        <w:t>与有关国家</w:t>
      </w:r>
      <w:r>
        <w:rPr>
          <w:rFonts w:ascii="黑体" w:hAnsi="黑体" w:eastAsia="黑体"/>
          <w:kern w:val="0"/>
          <w:sz w:val="24"/>
        </w:rPr>
        <w:t>互换奖学金计划”</w:t>
      </w:r>
      <w:r>
        <w:rPr>
          <w:rFonts w:hint="eastAsia" w:ascii="黑体" w:hAnsi="黑体" w:eastAsia="黑体"/>
          <w:kern w:val="0"/>
          <w:sz w:val="24"/>
        </w:rPr>
        <w:t>，</w:t>
      </w:r>
      <w:r>
        <w:rPr>
          <w:rFonts w:ascii="黑体" w:hAnsi="黑体" w:eastAsia="黑体"/>
          <w:kern w:val="0"/>
          <w:sz w:val="24"/>
        </w:rPr>
        <w:t>“</w:t>
      </w:r>
      <w:r>
        <w:rPr>
          <w:rFonts w:hint="eastAsia" w:ascii="黑体" w:hAnsi="黑体" w:eastAsia="黑体"/>
          <w:kern w:val="0"/>
          <w:sz w:val="24"/>
        </w:rPr>
        <w:t>可利用</w:t>
      </w:r>
      <w:r>
        <w:rPr>
          <w:rFonts w:ascii="黑体" w:hAnsi="黑体" w:eastAsia="黑体"/>
          <w:kern w:val="0"/>
          <w:sz w:val="24"/>
        </w:rPr>
        <w:t>合作渠道”</w:t>
      </w:r>
      <w:r>
        <w:rPr>
          <w:rFonts w:hint="eastAsia" w:ascii="黑体" w:hAnsi="黑体" w:eastAsia="黑体"/>
          <w:kern w:val="0"/>
          <w:sz w:val="24"/>
        </w:rPr>
        <w:t>选择</w:t>
      </w:r>
      <w:r>
        <w:rPr>
          <w:rFonts w:ascii="黑体" w:hAnsi="黑体" w:eastAsia="黑体"/>
          <w:kern w:val="0"/>
          <w:sz w:val="24"/>
        </w:rPr>
        <w:t>“</w:t>
      </w:r>
      <w:r>
        <w:rPr>
          <w:rFonts w:hint="eastAsia" w:ascii="黑体" w:hAnsi="黑体" w:eastAsia="黑体"/>
          <w:kern w:val="0"/>
          <w:sz w:val="24"/>
        </w:rPr>
        <w:t>匈牙利互换奖学金</w:t>
      </w:r>
      <w:r>
        <w:rPr>
          <w:rFonts w:ascii="黑体" w:hAnsi="黑体" w:eastAsia="黑体"/>
          <w:kern w:val="0"/>
          <w:sz w:val="24"/>
        </w:rPr>
        <w:t>”</w:t>
      </w:r>
      <w:r>
        <w:rPr>
          <w:rFonts w:hint="eastAsia" w:ascii="黑体" w:hAnsi="黑体" w:eastAsia="黑体"/>
          <w:kern w:val="0"/>
          <w:sz w:val="24"/>
        </w:rPr>
        <w:t>。</w:t>
      </w:r>
    </w:p>
    <w:p>
      <w:pPr>
        <w:adjustRightInd w:val="0"/>
        <w:snapToGrid w:val="0"/>
        <w:ind w:firstLine="480" w:firstLineChars="200"/>
        <w:rPr>
          <w:rFonts w:hint="eastAsia" w:ascii="黑体" w:hAnsi="黑体" w:eastAsia="黑体"/>
          <w:kern w:val="0"/>
          <w:sz w:val="24"/>
        </w:rPr>
      </w:pPr>
      <w:r>
        <w:rPr>
          <w:rFonts w:hint="eastAsia" w:ascii="黑体" w:hAnsi="黑体" w:eastAsia="黑体"/>
          <w:kern w:val="0"/>
          <w:sz w:val="24"/>
        </w:rPr>
        <w:t>申请人应按照规定的程序、时间和要求提交申请材料，并对材料的真实性负责。因申请材料原因导致的责任和后果由申请人承担。</w:t>
      </w:r>
    </w:p>
    <w:p>
      <w:pPr>
        <w:adjustRightInd w:val="0"/>
        <w:snapToGrid w:val="0"/>
        <w:ind w:firstLine="480" w:firstLineChars="200"/>
        <w:rPr>
          <w:rFonts w:ascii="黑体" w:hAnsi="黑体" w:eastAsia="黑体"/>
          <w:kern w:val="0"/>
          <w:sz w:val="24"/>
        </w:rPr>
      </w:pPr>
      <w:r>
        <w:rPr>
          <w:rFonts w:hint="eastAsia" w:ascii="黑体" w:hAnsi="黑体" w:eastAsia="黑体"/>
          <w:kern w:val="0"/>
          <w:sz w:val="24"/>
        </w:rPr>
        <w:t>推选单位需对申请人的政治思想、道德品行、学术诚信、身心健康情况、申请资格、综合素质、发展潜力、出国留学必要性、学习计划可行性等方面进行审核（评审）后出具有针对性的单位推荐意见。推选单位有权退回不真实、不一致、不符合要求的申请。</w:t>
      </w:r>
    </w:p>
    <w:p>
      <w:pPr>
        <w:adjustRightInd w:val="0"/>
        <w:snapToGrid w:val="0"/>
        <w:ind w:firstLine="480" w:firstLineChars="200"/>
        <w:rPr>
          <w:rFonts w:ascii="黑体" w:hAnsi="黑体" w:eastAsia="黑体"/>
          <w:kern w:val="0"/>
          <w:sz w:val="24"/>
        </w:rPr>
      </w:pPr>
      <w:r>
        <w:rPr>
          <w:rFonts w:ascii="黑体" w:hAnsi="黑体" w:eastAsia="黑体"/>
          <w:kern w:val="0"/>
          <w:sz w:val="24"/>
        </w:rPr>
        <w:t>3</w:t>
      </w:r>
      <w:r>
        <w:rPr>
          <w:rFonts w:hint="eastAsia" w:ascii="黑体" w:hAnsi="黑体" w:eastAsia="黑体"/>
          <w:kern w:val="0"/>
          <w:sz w:val="24"/>
        </w:rPr>
        <w:t>．应提交材料</w:t>
      </w:r>
    </w:p>
    <w:p>
      <w:pPr>
        <w:adjustRightInd w:val="0"/>
        <w:ind w:firstLine="720" w:firstLineChars="300"/>
        <w:rPr>
          <w:rFonts w:ascii="黑体" w:hAnsi="黑体" w:eastAsia="黑体" w:cs="黑体"/>
          <w:sz w:val="24"/>
        </w:rPr>
      </w:pPr>
      <w:r>
        <w:rPr>
          <w:rFonts w:hint="eastAsia" w:ascii="黑体" w:hAnsi="黑体" w:eastAsia="黑体" w:cs="黑体"/>
          <w:sz w:val="24"/>
        </w:rPr>
        <w:t>(1)单位正式推荐公函及推荐人员名单。</w:t>
      </w:r>
    </w:p>
    <w:p>
      <w:pPr>
        <w:widowControl/>
        <w:snapToGrid w:val="0"/>
        <w:ind w:firstLine="720" w:firstLineChars="300"/>
        <w:rPr>
          <w:rFonts w:ascii="黑体" w:hAnsi="黑体" w:eastAsia="黑体"/>
          <w:kern w:val="0"/>
          <w:sz w:val="24"/>
        </w:rPr>
      </w:pPr>
      <w:r>
        <w:rPr>
          <w:rFonts w:hint="eastAsia" w:ascii="黑体" w:hAnsi="黑体" w:eastAsia="黑体" w:cs="黑体"/>
          <w:sz w:val="24"/>
        </w:rPr>
        <w:t>(2)</w:t>
      </w:r>
      <w:r>
        <w:rPr>
          <w:rFonts w:hint="eastAsia" w:ascii="黑体" w:hAnsi="黑体" w:eastAsia="黑体"/>
          <w:kern w:val="0"/>
          <w:sz w:val="24"/>
        </w:rPr>
        <w:t>申请人须于</w:t>
      </w:r>
      <w:r>
        <w:rPr>
          <w:rFonts w:ascii="黑体" w:hAnsi="黑体" w:eastAsia="黑体"/>
          <w:kern w:val="0"/>
          <w:sz w:val="24"/>
        </w:rPr>
        <w:t>202</w:t>
      </w:r>
      <w:r>
        <w:rPr>
          <w:rFonts w:hint="eastAsia" w:ascii="黑体" w:hAnsi="黑体" w:eastAsia="黑体"/>
          <w:kern w:val="0"/>
          <w:sz w:val="24"/>
        </w:rPr>
        <w:t>5年1月15日前登录匈方网上申报系统（</w:t>
      </w:r>
      <w:r>
        <w:rPr>
          <w:rFonts w:ascii="黑体" w:hAnsi="黑体" w:eastAsia="黑体"/>
          <w:kern w:val="0"/>
          <w:sz w:val="24"/>
        </w:rPr>
        <w:fldChar w:fldCharType="begin"/>
      </w:r>
      <w:r>
        <w:rPr>
          <w:rFonts w:ascii="黑体" w:hAnsi="黑体" w:eastAsia="黑体"/>
          <w:kern w:val="0"/>
          <w:sz w:val="24"/>
        </w:rPr>
        <w:instrText xml:space="preserve"> HYPERLINK "http://www.stipendiumhungaricum.hu" </w:instrText>
      </w:r>
      <w:r>
        <w:rPr>
          <w:rFonts w:ascii="黑体" w:hAnsi="黑体" w:eastAsia="黑体"/>
          <w:kern w:val="0"/>
          <w:sz w:val="24"/>
        </w:rPr>
        <w:fldChar w:fldCharType="separate"/>
      </w:r>
      <w:r>
        <w:rPr>
          <w:rStyle w:val="10"/>
          <w:rFonts w:ascii="黑体" w:hAnsi="黑体" w:eastAsia="黑体"/>
          <w:color w:val="auto"/>
          <w:kern w:val="0"/>
          <w:sz w:val="24"/>
        </w:rPr>
        <w:t>www.stipendiumhungaricum.hu</w:t>
      </w:r>
      <w:r>
        <w:rPr>
          <w:rFonts w:ascii="黑体" w:hAnsi="黑体" w:eastAsia="黑体"/>
          <w:kern w:val="0"/>
          <w:sz w:val="24"/>
        </w:rPr>
        <w:fldChar w:fldCharType="end"/>
      </w:r>
      <w:r>
        <w:rPr>
          <w:rFonts w:hint="eastAsia" w:ascii="黑体" w:hAnsi="黑体" w:eastAsia="黑体"/>
          <w:kern w:val="0"/>
          <w:sz w:val="24"/>
        </w:rPr>
        <w:t>）完成网上报名并按要求提交对外联系材料。申请人应在网报时填写2个或以上不同的study program，完成网上申请后，申请人不能再对申请留学院校/专业进行更改。</w:t>
      </w:r>
    </w:p>
    <w:p>
      <w:pPr>
        <w:adjustRightInd w:val="0"/>
        <w:ind w:firstLine="480" w:firstLineChars="200"/>
        <w:rPr>
          <w:rFonts w:hint="eastAsia" w:ascii="黑体" w:hAnsi="黑体" w:eastAsia="黑体" w:cs="黑体"/>
          <w:sz w:val="24"/>
        </w:rPr>
      </w:pPr>
      <w:r>
        <w:rPr>
          <w:rFonts w:hint="eastAsia" w:ascii="黑体" w:hAnsi="黑体" w:eastAsia="黑体" w:cs="黑体"/>
          <w:sz w:val="24"/>
        </w:rPr>
        <w:t>对外</w:t>
      </w:r>
      <w:r>
        <w:rPr>
          <w:rFonts w:ascii="黑体" w:hAnsi="黑体" w:eastAsia="黑体" w:cs="黑体"/>
          <w:sz w:val="24"/>
        </w:rPr>
        <w:t>联系材料需同时上传至国家公派留学管理信息平台。</w:t>
      </w:r>
    </w:p>
    <w:p>
      <w:pPr>
        <w:adjustRightInd w:val="0"/>
        <w:ind w:firstLine="480" w:firstLineChars="200"/>
        <w:rPr>
          <w:rFonts w:ascii="黑体" w:hAnsi="黑体" w:eastAsia="黑体" w:cs="黑体"/>
          <w:sz w:val="24"/>
        </w:rPr>
      </w:pPr>
      <w:r>
        <w:rPr>
          <w:rFonts w:hint="eastAsia" w:ascii="黑体" w:hAnsi="黑体" w:eastAsia="黑体" w:cs="黑体"/>
          <w:sz w:val="24"/>
        </w:rPr>
        <w:t>受理单位有权退回不真实、不一致、不符合要求的申请。</w:t>
      </w:r>
    </w:p>
    <w:p>
      <w:pPr>
        <w:adjustRightInd w:val="0"/>
        <w:ind w:firstLine="562" w:firstLineChars="200"/>
        <w:rPr>
          <w:rFonts w:hint="eastAsia" w:ascii="黑体" w:hAnsi="黑体" w:eastAsia="黑体" w:cs="Arial"/>
          <w:b/>
          <w:bCs/>
          <w:kern w:val="0"/>
          <w:sz w:val="28"/>
          <w:szCs w:val="28"/>
        </w:rPr>
      </w:pPr>
      <w:r>
        <w:rPr>
          <w:rFonts w:hint="eastAsia" w:ascii="黑体" w:hAnsi="黑体" w:eastAsia="黑体" w:cs="Arial"/>
          <w:b/>
          <w:bCs/>
          <w:kern w:val="0"/>
          <w:sz w:val="28"/>
          <w:szCs w:val="28"/>
        </w:rPr>
        <w:t>五、评审及录取</w:t>
      </w:r>
    </w:p>
    <w:p>
      <w:pPr>
        <w:adjustRightInd w:val="0"/>
        <w:snapToGrid w:val="0"/>
        <w:ind w:firstLine="480" w:firstLineChars="200"/>
        <w:rPr>
          <w:rFonts w:hint="eastAsia" w:ascii="黑体" w:hAnsi="黑体" w:eastAsia="黑体"/>
          <w:kern w:val="0"/>
          <w:sz w:val="24"/>
        </w:rPr>
      </w:pPr>
      <w:r>
        <w:rPr>
          <w:rFonts w:hint="eastAsia" w:ascii="黑体" w:hAnsi="黑体" w:eastAsia="黑体"/>
          <w:kern w:val="0"/>
          <w:sz w:val="24"/>
        </w:rPr>
        <w:t>国家留学基金委将对申请材料进行审核，按照</w:t>
      </w:r>
      <w:r>
        <w:rPr>
          <w:rFonts w:hint="eastAsia" w:ascii="黑体" w:hAnsi="黑体" w:eastAsia="黑体"/>
          <w:kern w:val="0"/>
          <w:sz w:val="24"/>
          <w:lang w:eastAsia="zh-Hans"/>
        </w:rPr>
        <w:t>当年</w:t>
      </w:r>
      <w:r>
        <w:rPr>
          <w:rFonts w:hint="eastAsia" w:ascii="黑体" w:hAnsi="黑体" w:eastAsia="黑体"/>
          <w:kern w:val="0"/>
          <w:sz w:val="24"/>
          <w:u w:val="single"/>
        </w:rPr>
        <w:t>国家建设高水平大学公派研究生项目选派办法</w:t>
      </w:r>
      <w:r>
        <w:rPr>
          <w:rFonts w:hint="eastAsia" w:ascii="黑体" w:hAnsi="黑体" w:eastAsia="黑体"/>
          <w:kern w:val="0"/>
          <w:sz w:val="24"/>
        </w:rPr>
        <w:t>执行，并向匈方提交留学候选人名单。匈高校根据实际需要组织安排留学候选人参加入学考试，最终录取结果以匈方通知为准。未被匈方录取人员，由推选单位做好工作、学习安排，国家留学基金委不再负责其派出事宜。</w:t>
      </w:r>
    </w:p>
    <w:p>
      <w:pPr>
        <w:adjustRightInd w:val="0"/>
        <w:snapToGrid w:val="0"/>
        <w:ind w:firstLine="480" w:firstLineChars="200"/>
        <w:rPr>
          <w:rFonts w:hint="eastAsia" w:ascii="黑体" w:hAnsi="黑体" w:eastAsia="黑体"/>
          <w:kern w:val="0"/>
          <w:sz w:val="24"/>
        </w:rPr>
      </w:pPr>
      <w:r>
        <w:rPr>
          <w:rFonts w:hint="eastAsia" w:ascii="黑体" w:hAnsi="黑体" w:eastAsia="黑体"/>
          <w:kern w:val="0"/>
          <w:sz w:val="24"/>
        </w:rPr>
        <w:t>所有留学候选人将于2025年7月开始陆续收到匈方反馈，若收到录取信息，请尽快将匈方奖学金证明信（Letter of Award</w:t>
      </w:r>
      <w:r>
        <w:rPr>
          <w:rFonts w:ascii="黑体" w:hAnsi="黑体" w:eastAsia="黑体"/>
          <w:kern w:val="0"/>
          <w:sz w:val="24"/>
        </w:rPr>
        <w:t>）</w:t>
      </w:r>
      <w:r>
        <w:rPr>
          <w:rFonts w:hint="eastAsia" w:ascii="黑体" w:hAnsi="黑体" w:eastAsia="黑体"/>
          <w:kern w:val="0"/>
          <w:sz w:val="24"/>
        </w:rPr>
        <w:t>和匈方接收院校录取通知书（Decision of Admission</w:t>
      </w:r>
      <w:r>
        <w:rPr>
          <w:rFonts w:ascii="黑体" w:hAnsi="黑体" w:eastAsia="黑体"/>
          <w:kern w:val="0"/>
          <w:sz w:val="24"/>
        </w:rPr>
        <w:t>）</w:t>
      </w:r>
      <w:r>
        <w:rPr>
          <w:rFonts w:hint="eastAsia" w:ascii="黑体" w:hAnsi="黑体" w:eastAsia="黑体"/>
          <w:kern w:val="0"/>
          <w:sz w:val="24"/>
        </w:rPr>
        <w:t>的扫描件发至国家留学基金委。国家留学基金委根据以上两份文件完成国内录取。凡不按照要求提交相应材料而影响录取的，由留学人员本人负责。</w:t>
      </w:r>
    </w:p>
    <w:p>
      <w:pPr>
        <w:widowControl/>
        <w:snapToGrid w:val="0"/>
        <w:ind w:firstLine="562" w:firstLineChars="200"/>
        <w:rPr>
          <w:rFonts w:hint="eastAsia" w:ascii="黑体" w:hAnsi="黑体" w:eastAsia="黑体" w:cs="Arial"/>
          <w:b/>
          <w:bCs/>
          <w:kern w:val="0"/>
          <w:sz w:val="28"/>
          <w:szCs w:val="28"/>
        </w:rPr>
      </w:pPr>
      <w:r>
        <w:rPr>
          <w:rFonts w:hint="eastAsia" w:ascii="黑体" w:hAnsi="黑体" w:eastAsia="黑体" w:cs="Arial"/>
          <w:b/>
          <w:bCs/>
          <w:kern w:val="0"/>
          <w:sz w:val="28"/>
          <w:szCs w:val="28"/>
        </w:rPr>
        <w:t xml:space="preserve">六、派出 </w:t>
      </w:r>
    </w:p>
    <w:p>
      <w:pPr>
        <w:adjustRightInd w:val="0"/>
        <w:snapToGrid w:val="0"/>
        <w:ind w:firstLine="480" w:firstLineChars="200"/>
        <w:rPr>
          <w:rFonts w:ascii="黑体" w:hAnsi="黑体" w:eastAsia="黑体"/>
          <w:kern w:val="0"/>
          <w:sz w:val="24"/>
        </w:rPr>
      </w:pPr>
      <w:r>
        <w:rPr>
          <w:rFonts w:hint="eastAsia" w:ascii="黑体" w:hAnsi="黑体" w:eastAsia="黑体"/>
          <w:kern w:val="0"/>
          <w:sz w:val="24"/>
        </w:rPr>
        <w:t>1. 被录取人员应按计划派出，不得擅自放弃留学资格。一般在当年</w:t>
      </w:r>
      <w:r>
        <w:rPr>
          <w:rFonts w:ascii="黑体" w:hAnsi="黑体" w:eastAsia="黑体"/>
          <w:kern w:val="0"/>
          <w:sz w:val="24"/>
        </w:rPr>
        <w:t>9-10</w:t>
      </w:r>
      <w:r>
        <w:rPr>
          <w:rFonts w:hint="eastAsia" w:ascii="黑体" w:hAnsi="黑体" w:eastAsia="黑体"/>
          <w:kern w:val="0"/>
          <w:sz w:val="24"/>
        </w:rPr>
        <w:t>月派出，录取结果及派出时间以匈方通知为准；</w:t>
      </w:r>
    </w:p>
    <w:p>
      <w:pPr>
        <w:adjustRightInd w:val="0"/>
        <w:snapToGrid w:val="0"/>
        <w:ind w:firstLine="480" w:firstLineChars="200"/>
        <w:rPr>
          <w:rFonts w:hint="eastAsia" w:ascii="黑体" w:hAnsi="黑体" w:eastAsia="黑体"/>
          <w:kern w:val="0"/>
          <w:sz w:val="24"/>
        </w:rPr>
      </w:pPr>
      <w:r>
        <w:rPr>
          <w:rFonts w:hint="eastAsia" w:ascii="黑体" w:hAnsi="黑体" w:eastAsia="黑体"/>
          <w:kern w:val="0"/>
          <w:sz w:val="24"/>
        </w:rPr>
        <w:t xml:space="preserve">2.留学人员应在派出前签订《国家公派出国留学协议书》。  </w:t>
      </w:r>
    </w:p>
    <w:p>
      <w:pPr>
        <w:widowControl/>
        <w:snapToGrid w:val="0"/>
        <w:ind w:firstLine="562" w:firstLineChars="200"/>
        <w:rPr>
          <w:rFonts w:hint="eastAsia" w:ascii="黑体" w:hAnsi="黑体" w:eastAsia="黑体" w:cs="Arial"/>
          <w:b/>
          <w:bCs/>
          <w:kern w:val="0"/>
          <w:sz w:val="28"/>
          <w:szCs w:val="28"/>
        </w:rPr>
      </w:pPr>
      <w:r>
        <w:rPr>
          <w:rFonts w:hint="eastAsia" w:ascii="黑体" w:hAnsi="黑体" w:eastAsia="黑体" w:cs="Arial"/>
          <w:b/>
          <w:bCs/>
          <w:kern w:val="0"/>
          <w:sz w:val="28"/>
          <w:szCs w:val="28"/>
        </w:rPr>
        <w:t>七、咨询方式</w:t>
      </w:r>
    </w:p>
    <w:p>
      <w:pPr>
        <w:ind w:firstLine="480" w:firstLineChars="200"/>
        <w:rPr>
          <w:rFonts w:ascii="黑体" w:hAnsi="黑体" w:eastAsia="黑体"/>
          <w:sz w:val="24"/>
        </w:rPr>
      </w:pPr>
      <w:r>
        <w:rPr>
          <w:rFonts w:hint="eastAsia" w:ascii="黑体" w:hAnsi="黑体" w:eastAsia="黑体"/>
          <w:sz w:val="24"/>
        </w:rPr>
        <w:t>联系电话：</w:t>
      </w:r>
      <w:r>
        <w:rPr>
          <w:rFonts w:ascii="黑体" w:hAnsi="黑体" w:eastAsia="黑体"/>
          <w:sz w:val="24"/>
        </w:rPr>
        <w:t xml:space="preserve">010-66093573    </w:t>
      </w:r>
      <w:r>
        <w:rPr>
          <w:rFonts w:hint="eastAsia" w:ascii="黑体" w:hAnsi="黑体" w:eastAsia="黑体"/>
          <w:sz w:val="24"/>
        </w:rPr>
        <w:t>邮箱：</w:t>
      </w:r>
      <w:r>
        <w:rPr>
          <w:rStyle w:val="10"/>
          <w:rFonts w:ascii="黑体" w:eastAsia="黑体" w:cs="仿宋"/>
          <w:color w:val="auto"/>
          <w:sz w:val="24"/>
          <w:u w:val="none"/>
        </w:rPr>
        <w:fldChar w:fldCharType="begin"/>
      </w:r>
      <w:r>
        <w:rPr>
          <w:rStyle w:val="10"/>
          <w:rFonts w:ascii="黑体" w:eastAsia="黑体" w:cs="仿宋"/>
          <w:color w:val="auto"/>
          <w:sz w:val="24"/>
          <w:u w:val="none"/>
        </w:rPr>
        <w:instrText xml:space="preserve"> HYPERLINK "mailto:</w:instrText>
      </w:r>
      <w:r>
        <w:rPr>
          <w:rStyle w:val="10"/>
          <w:rFonts w:hint="eastAsia" w:ascii="黑体" w:eastAsia="黑体" w:cs="仿宋"/>
          <w:color w:val="auto"/>
          <w:sz w:val="24"/>
          <w:u w:val="none"/>
        </w:rPr>
        <w:instrText xml:space="preserve">ouyafei</w:instrText>
      </w:r>
      <w:r>
        <w:rPr>
          <w:rStyle w:val="10"/>
          <w:rFonts w:ascii="黑体" w:eastAsia="黑体" w:cs="仿宋"/>
          <w:color w:val="auto"/>
          <w:sz w:val="24"/>
          <w:u w:val="none"/>
        </w:rPr>
        <w:instrText xml:space="preserve">9</w:instrText>
      </w:r>
      <w:r>
        <w:rPr>
          <w:rStyle w:val="10"/>
          <w:rFonts w:hint="eastAsia" w:ascii="黑体" w:eastAsia="黑体" w:cs="仿宋"/>
          <w:color w:val="auto"/>
          <w:sz w:val="24"/>
          <w:u w:val="none"/>
        </w:rPr>
        <w:instrText xml:space="preserve">@csc.edu.cn</w:instrText>
      </w:r>
      <w:r>
        <w:rPr>
          <w:rStyle w:val="10"/>
          <w:rFonts w:ascii="黑体" w:eastAsia="黑体" w:cs="仿宋"/>
          <w:color w:val="auto"/>
          <w:sz w:val="24"/>
          <w:u w:val="none"/>
        </w:rPr>
        <w:instrText xml:space="preserve">" </w:instrText>
      </w:r>
      <w:r>
        <w:rPr>
          <w:rStyle w:val="10"/>
          <w:rFonts w:ascii="黑体" w:eastAsia="黑体" w:cs="仿宋"/>
          <w:color w:val="auto"/>
          <w:sz w:val="24"/>
          <w:u w:val="none"/>
        </w:rPr>
        <w:fldChar w:fldCharType="separate"/>
      </w:r>
      <w:r>
        <w:rPr>
          <w:rStyle w:val="10"/>
          <w:rFonts w:hint="eastAsia" w:ascii="黑体" w:eastAsia="黑体" w:cs="仿宋"/>
          <w:color w:val="auto"/>
          <w:sz w:val="24"/>
          <w:u w:val="none"/>
        </w:rPr>
        <w:t>ouyafei</w:t>
      </w:r>
      <w:r>
        <w:rPr>
          <w:rStyle w:val="10"/>
          <w:rFonts w:ascii="黑体" w:eastAsia="黑体" w:cs="仿宋"/>
          <w:color w:val="auto"/>
          <w:sz w:val="24"/>
          <w:u w:val="none"/>
        </w:rPr>
        <w:t>9</w:t>
      </w:r>
      <w:r>
        <w:rPr>
          <w:rStyle w:val="10"/>
          <w:rFonts w:hint="eastAsia" w:ascii="黑体" w:eastAsia="黑体" w:cs="仿宋"/>
          <w:color w:val="auto"/>
          <w:sz w:val="24"/>
          <w:u w:val="none"/>
        </w:rPr>
        <w:t>@csc.edu.cn</w:t>
      </w:r>
      <w:r>
        <w:rPr>
          <w:rStyle w:val="10"/>
          <w:rFonts w:ascii="黑体" w:eastAsia="黑体" w:cs="仿宋"/>
          <w:color w:val="auto"/>
          <w:sz w:val="24"/>
          <w:u w:val="none"/>
        </w:rPr>
        <w:fldChar w:fldCharType="end"/>
      </w:r>
    </w:p>
    <w:p>
      <w:pPr>
        <w:ind w:firstLine="480" w:firstLineChars="200"/>
        <w:rPr>
          <w:rFonts w:ascii="黑体" w:hAnsi="黑体" w:eastAsia="黑体"/>
          <w:sz w:val="24"/>
        </w:rPr>
      </w:pPr>
      <w:r>
        <w:rPr>
          <w:rFonts w:hint="eastAsia" w:ascii="黑体" w:hAnsi="黑体" w:eastAsia="黑体"/>
          <w:sz w:val="24"/>
        </w:rPr>
        <w:t>传  真：</w:t>
      </w:r>
      <w:r>
        <w:rPr>
          <w:rFonts w:ascii="黑体" w:hAnsi="黑体" w:eastAsia="黑体"/>
          <w:sz w:val="24"/>
        </w:rPr>
        <w:t xml:space="preserve">010-66093929        </w:t>
      </w:r>
      <w:r>
        <w:rPr>
          <w:rFonts w:hint="eastAsia" w:ascii="黑体" w:hAnsi="黑体" w:eastAsia="黑体"/>
          <w:sz w:val="24"/>
        </w:rPr>
        <w:t xml:space="preserve"> </w:t>
      </w:r>
    </w:p>
    <w:p>
      <w:pPr>
        <w:ind w:firstLine="480" w:firstLineChars="200"/>
        <w:rPr>
          <w:rFonts w:ascii="黑体" w:hAnsi="黑体" w:eastAsia="黑体"/>
          <w:sz w:val="24"/>
        </w:rPr>
      </w:pPr>
      <w:r>
        <w:rPr>
          <w:rFonts w:hint="eastAsia" w:ascii="黑体" w:hAnsi="黑体" w:eastAsia="黑体"/>
          <w:sz w:val="24"/>
        </w:rPr>
        <w:t>地址：北京市车公庄大街</w:t>
      </w:r>
      <w:r>
        <w:rPr>
          <w:rFonts w:ascii="黑体" w:hAnsi="黑体" w:eastAsia="黑体"/>
          <w:sz w:val="24"/>
        </w:rPr>
        <w:t>9</w:t>
      </w:r>
      <w:r>
        <w:rPr>
          <w:rFonts w:hint="eastAsia" w:ascii="黑体" w:hAnsi="黑体" w:eastAsia="黑体"/>
          <w:sz w:val="24"/>
        </w:rPr>
        <w:t>号五栋大楼</w:t>
      </w:r>
      <w:r>
        <w:rPr>
          <w:rFonts w:ascii="黑体" w:hAnsi="黑体" w:eastAsia="黑体"/>
          <w:sz w:val="24"/>
        </w:rPr>
        <w:t>A3</w:t>
      </w:r>
      <w:r>
        <w:rPr>
          <w:rFonts w:hint="eastAsia" w:ascii="黑体" w:hAnsi="黑体" w:eastAsia="黑体"/>
          <w:sz w:val="24"/>
        </w:rPr>
        <w:t>座</w:t>
      </w:r>
      <w:r>
        <w:rPr>
          <w:rFonts w:ascii="黑体" w:hAnsi="黑体" w:eastAsia="黑体"/>
          <w:sz w:val="24"/>
        </w:rPr>
        <w:t>13</w:t>
      </w:r>
      <w:r>
        <w:rPr>
          <w:rFonts w:hint="eastAsia" w:ascii="黑体" w:hAnsi="黑体" w:eastAsia="黑体"/>
          <w:sz w:val="24"/>
        </w:rPr>
        <w:t>层（</w:t>
      </w:r>
      <w:r>
        <w:rPr>
          <w:rFonts w:ascii="黑体" w:hAnsi="黑体" w:eastAsia="黑体"/>
          <w:sz w:val="24"/>
        </w:rPr>
        <w:t>100044</w:t>
      </w:r>
      <w:r>
        <w:rPr>
          <w:rFonts w:hint="eastAsia" w:ascii="黑体" w:hAnsi="黑体" w:eastAsia="黑体"/>
          <w:sz w:val="24"/>
        </w:rPr>
        <w:t>）</w:t>
      </w:r>
    </w:p>
    <w:p>
      <w:pPr>
        <w:widowControl/>
        <w:snapToGrid w:val="0"/>
        <w:ind w:firstLine="562" w:firstLineChars="200"/>
        <w:rPr>
          <w:rFonts w:hint="eastAsia" w:ascii="黑体" w:hAnsi="黑体" w:eastAsia="黑体" w:cs="Arial"/>
          <w:b/>
          <w:bCs/>
          <w:kern w:val="0"/>
          <w:sz w:val="28"/>
          <w:szCs w:val="28"/>
        </w:rPr>
      </w:pPr>
      <w:r>
        <w:rPr>
          <w:rFonts w:hint="eastAsia" w:ascii="黑体" w:hAnsi="黑体" w:eastAsia="黑体" w:cs="Arial"/>
          <w:b/>
          <w:bCs/>
          <w:kern w:val="0"/>
          <w:sz w:val="28"/>
          <w:szCs w:val="28"/>
        </w:rPr>
        <w:t>八、申请及选派程序</w:t>
      </w:r>
    </w:p>
    <w:tbl>
      <w:tblPr>
        <w:tblStyle w:val="6"/>
        <w:tblW w:w="9214" w:type="dxa"/>
        <w:jc w:val="center"/>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autofit"/>
        <w:tblCellMar>
          <w:top w:w="0" w:type="dxa"/>
          <w:left w:w="108" w:type="dxa"/>
          <w:bottom w:w="0" w:type="dxa"/>
          <w:right w:w="108" w:type="dxa"/>
        </w:tblCellMar>
      </w:tblPr>
      <w:tblGrid>
        <w:gridCol w:w="542"/>
        <w:gridCol w:w="912"/>
        <w:gridCol w:w="1170"/>
        <w:gridCol w:w="1694"/>
        <w:gridCol w:w="4896"/>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04" w:hRule="atLeast"/>
          <w:jc w:val="center"/>
        </w:trPr>
        <w:tc>
          <w:tcPr>
            <w:tcW w:w="542" w:type="dxa"/>
            <w:tcBorders>
              <w:top w:val="single" w:color="auto" w:sz="18" w:space="0"/>
              <w:left w:val="single" w:color="auto" w:sz="18" w:space="0"/>
              <w:bottom w:val="single" w:color="auto" w:sz="2" w:space="0"/>
              <w:right w:val="single" w:color="auto" w:sz="2" w:space="0"/>
            </w:tcBorders>
            <w:noWrap w:val="0"/>
            <w:vAlign w:val="center"/>
          </w:tcPr>
          <w:p>
            <w:pPr>
              <w:adjustRightInd w:val="0"/>
              <w:snapToGrid w:val="0"/>
              <w:rPr>
                <w:rFonts w:ascii="黑体" w:hAnsi="黑体" w:eastAsia="黑体"/>
                <w:b/>
                <w:kern w:val="0"/>
                <w:szCs w:val="21"/>
              </w:rPr>
            </w:pPr>
            <w:r>
              <w:rPr>
                <w:rFonts w:hint="eastAsia" w:ascii="黑体" w:hAnsi="黑体" w:eastAsia="黑体"/>
                <w:b/>
                <w:kern w:val="0"/>
                <w:szCs w:val="21"/>
              </w:rPr>
              <w:t>步骤</w:t>
            </w:r>
          </w:p>
        </w:tc>
        <w:tc>
          <w:tcPr>
            <w:tcW w:w="912" w:type="dxa"/>
            <w:tcBorders>
              <w:top w:val="single" w:color="auto" w:sz="18" w:space="0"/>
              <w:left w:val="single" w:color="auto" w:sz="2" w:space="0"/>
              <w:bottom w:val="single" w:color="auto" w:sz="2" w:space="0"/>
              <w:right w:val="single" w:color="auto" w:sz="2" w:space="0"/>
            </w:tcBorders>
            <w:noWrap w:val="0"/>
            <w:vAlign w:val="center"/>
          </w:tcPr>
          <w:p>
            <w:pPr>
              <w:adjustRightInd w:val="0"/>
              <w:snapToGrid w:val="0"/>
              <w:jc w:val="center"/>
              <w:rPr>
                <w:rFonts w:ascii="黑体" w:hAnsi="黑体" w:eastAsia="黑体"/>
                <w:b/>
                <w:kern w:val="0"/>
                <w:szCs w:val="21"/>
              </w:rPr>
            </w:pPr>
            <w:r>
              <w:rPr>
                <w:rFonts w:hint="eastAsia" w:ascii="黑体" w:hAnsi="黑体" w:eastAsia="黑体"/>
                <w:b/>
                <w:kern w:val="0"/>
                <w:szCs w:val="21"/>
              </w:rPr>
              <w:t>时间</w:t>
            </w:r>
          </w:p>
        </w:tc>
        <w:tc>
          <w:tcPr>
            <w:tcW w:w="1170" w:type="dxa"/>
            <w:tcBorders>
              <w:top w:val="single" w:color="auto" w:sz="18" w:space="0"/>
              <w:left w:val="single" w:color="auto" w:sz="2" w:space="0"/>
              <w:bottom w:val="single" w:color="auto" w:sz="2" w:space="0"/>
              <w:right w:val="single" w:color="auto" w:sz="2" w:space="0"/>
            </w:tcBorders>
            <w:noWrap w:val="0"/>
            <w:vAlign w:val="center"/>
          </w:tcPr>
          <w:p>
            <w:pPr>
              <w:adjustRightInd w:val="0"/>
              <w:snapToGrid w:val="0"/>
              <w:jc w:val="center"/>
              <w:rPr>
                <w:rFonts w:ascii="黑体" w:hAnsi="黑体" w:eastAsia="黑体"/>
                <w:b/>
                <w:kern w:val="0"/>
                <w:szCs w:val="21"/>
              </w:rPr>
            </w:pPr>
            <w:r>
              <w:rPr>
                <w:rFonts w:hint="eastAsia" w:ascii="黑体" w:hAnsi="黑体" w:eastAsia="黑体"/>
                <w:b/>
                <w:kern w:val="0"/>
                <w:szCs w:val="21"/>
              </w:rPr>
              <w:t>程序</w:t>
            </w:r>
          </w:p>
        </w:tc>
        <w:tc>
          <w:tcPr>
            <w:tcW w:w="1694" w:type="dxa"/>
            <w:tcBorders>
              <w:top w:val="single" w:color="auto" w:sz="18" w:space="0"/>
              <w:left w:val="single" w:color="auto" w:sz="2" w:space="0"/>
              <w:bottom w:val="single" w:color="auto" w:sz="2" w:space="0"/>
              <w:right w:val="single" w:color="auto" w:sz="2" w:space="0"/>
            </w:tcBorders>
            <w:noWrap w:val="0"/>
            <w:vAlign w:val="center"/>
          </w:tcPr>
          <w:p>
            <w:pPr>
              <w:adjustRightInd w:val="0"/>
              <w:snapToGrid w:val="0"/>
              <w:jc w:val="center"/>
              <w:rPr>
                <w:rFonts w:ascii="黑体" w:hAnsi="黑体" w:eastAsia="黑体"/>
                <w:b/>
                <w:kern w:val="0"/>
                <w:szCs w:val="21"/>
              </w:rPr>
            </w:pPr>
            <w:r>
              <w:rPr>
                <w:rFonts w:hint="eastAsia" w:ascii="黑体" w:hAnsi="黑体" w:eastAsia="黑体"/>
                <w:b/>
                <w:kern w:val="0"/>
                <w:szCs w:val="21"/>
              </w:rPr>
              <w:t>具体内容</w:t>
            </w:r>
          </w:p>
        </w:tc>
        <w:tc>
          <w:tcPr>
            <w:tcW w:w="4896" w:type="dxa"/>
            <w:tcBorders>
              <w:top w:val="single" w:color="auto" w:sz="18" w:space="0"/>
              <w:left w:val="single" w:color="auto" w:sz="2" w:space="0"/>
              <w:bottom w:val="single" w:color="auto" w:sz="2" w:space="0"/>
              <w:right w:val="single" w:color="auto" w:sz="18" w:space="0"/>
            </w:tcBorders>
            <w:noWrap w:val="0"/>
            <w:vAlign w:val="center"/>
          </w:tcPr>
          <w:p>
            <w:pPr>
              <w:adjustRightInd w:val="0"/>
              <w:snapToGrid w:val="0"/>
              <w:ind w:firstLine="422" w:firstLineChars="200"/>
              <w:jc w:val="center"/>
              <w:rPr>
                <w:rFonts w:ascii="黑体" w:hAnsi="黑体" w:eastAsia="黑体"/>
                <w:b/>
                <w:kern w:val="0"/>
                <w:szCs w:val="21"/>
              </w:rPr>
            </w:pPr>
            <w:r>
              <w:rPr>
                <w:rFonts w:hint="eastAsia" w:ascii="黑体" w:hAnsi="黑体" w:eastAsia="黑体"/>
                <w:b/>
                <w:kern w:val="0"/>
                <w:szCs w:val="21"/>
              </w:rPr>
              <w:t>备注</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50" w:hRule="atLeast"/>
          <w:jc w:val="center"/>
        </w:trPr>
        <w:tc>
          <w:tcPr>
            <w:tcW w:w="542" w:type="dxa"/>
            <w:tcBorders>
              <w:top w:val="single" w:color="auto" w:sz="18" w:space="0"/>
              <w:left w:val="single" w:color="auto" w:sz="18" w:space="0"/>
              <w:bottom w:val="single" w:color="auto" w:sz="2" w:space="0"/>
              <w:right w:val="single" w:color="auto" w:sz="2" w:space="0"/>
            </w:tcBorders>
            <w:noWrap w:val="0"/>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1</w:t>
            </w:r>
          </w:p>
        </w:tc>
        <w:tc>
          <w:tcPr>
            <w:tcW w:w="912" w:type="dxa"/>
            <w:tcBorders>
              <w:top w:val="single" w:color="auto" w:sz="18" w:space="0"/>
              <w:left w:val="single" w:color="auto" w:sz="2" w:space="0"/>
              <w:bottom w:val="single" w:color="auto" w:sz="2" w:space="0"/>
              <w:right w:val="single" w:color="auto" w:sz="2" w:space="0"/>
            </w:tcBorders>
            <w:noWrap w:val="0"/>
            <w:vAlign w:val="center"/>
          </w:tcPr>
          <w:p>
            <w:pPr>
              <w:widowControl/>
              <w:ind w:left="420" w:leftChars="200" w:firstLine="200"/>
              <w:rPr>
                <w:rFonts w:ascii="黑体" w:hAnsi="黑体" w:eastAsia="黑体" w:cs="Arial"/>
                <w:color w:val="000000"/>
                <w:kern w:val="0"/>
                <w:szCs w:val="21"/>
              </w:rPr>
            </w:pPr>
          </w:p>
        </w:tc>
        <w:tc>
          <w:tcPr>
            <w:tcW w:w="1170" w:type="dxa"/>
            <w:tcBorders>
              <w:top w:val="single" w:color="auto" w:sz="18" w:space="0"/>
              <w:left w:val="single" w:color="auto" w:sz="2" w:space="0"/>
              <w:bottom w:val="single" w:color="auto" w:sz="2" w:space="0"/>
              <w:right w:val="single" w:color="auto" w:sz="2" w:space="0"/>
            </w:tcBorders>
            <w:noWrap w:val="0"/>
            <w:vAlign w:val="center"/>
          </w:tcPr>
          <w:p>
            <w:pPr>
              <w:widowControl/>
              <w:rPr>
                <w:rFonts w:ascii="黑体" w:hAnsi="黑体" w:eastAsia="黑体"/>
                <w:bCs/>
                <w:color w:val="000000"/>
                <w:szCs w:val="21"/>
              </w:rPr>
            </w:pPr>
            <w:r>
              <w:rPr>
                <w:rFonts w:hint="eastAsia" w:ascii="黑体" w:hAnsi="黑体" w:eastAsia="黑体"/>
                <w:bCs/>
                <w:color w:val="000000"/>
                <w:szCs w:val="21"/>
              </w:rPr>
              <w:t>申请准备</w:t>
            </w:r>
          </w:p>
        </w:tc>
        <w:tc>
          <w:tcPr>
            <w:tcW w:w="1694" w:type="dxa"/>
            <w:tcBorders>
              <w:top w:val="single" w:color="auto" w:sz="18" w:space="0"/>
              <w:left w:val="single" w:color="auto" w:sz="2" w:space="0"/>
              <w:bottom w:val="single" w:color="auto" w:sz="2" w:space="0"/>
              <w:right w:val="single" w:color="auto" w:sz="2" w:space="0"/>
            </w:tcBorders>
            <w:noWrap w:val="0"/>
            <w:vAlign w:val="center"/>
          </w:tcPr>
          <w:p>
            <w:pPr>
              <w:widowControl/>
              <w:rPr>
                <w:rFonts w:ascii="黑体" w:hAnsi="黑体" w:eastAsia="黑体"/>
                <w:bCs/>
                <w:color w:val="000000"/>
                <w:szCs w:val="21"/>
              </w:rPr>
            </w:pPr>
            <w:r>
              <w:rPr>
                <w:rFonts w:hint="eastAsia" w:ascii="黑体" w:hAnsi="黑体" w:eastAsia="黑体"/>
                <w:bCs/>
                <w:color w:val="000000"/>
                <w:szCs w:val="21"/>
              </w:rPr>
              <w:t>准备申请材料</w:t>
            </w:r>
          </w:p>
        </w:tc>
        <w:tc>
          <w:tcPr>
            <w:tcW w:w="4896" w:type="dxa"/>
            <w:tcBorders>
              <w:top w:val="single" w:color="auto" w:sz="18" w:space="0"/>
              <w:left w:val="single" w:color="auto" w:sz="2" w:space="0"/>
              <w:bottom w:val="single" w:color="auto" w:sz="2" w:space="0"/>
              <w:right w:val="single" w:color="auto" w:sz="18" w:space="0"/>
            </w:tcBorders>
            <w:noWrap w:val="0"/>
            <w:vAlign w:val="center"/>
          </w:tcPr>
          <w:p>
            <w:pPr>
              <w:widowControl/>
              <w:rPr>
                <w:rFonts w:ascii="黑体" w:hAnsi="黑体" w:eastAsia="黑体" w:cs="Arial"/>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1475" w:hRule="atLeast"/>
          <w:jc w:val="center"/>
        </w:trPr>
        <w:tc>
          <w:tcPr>
            <w:tcW w:w="542" w:type="dxa"/>
            <w:tcBorders>
              <w:top w:val="single" w:color="auto" w:sz="2" w:space="0"/>
              <w:left w:val="single" w:color="auto" w:sz="18" w:space="0"/>
              <w:right w:val="single" w:color="auto" w:sz="2" w:space="0"/>
            </w:tcBorders>
            <w:noWrap w:val="0"/>
            <w:vAlign w:val="center"/>
          </w:tcPr>
          <w:p>
            <w:pPr>
              <w:adjustRightInd w:val="0"/>
              <w:snapToGrid w:val="0"/>
              <w:jc w:val="center"/>
              <w:rPr>
                <w:rFonts w:hint="eastAsia" w:ascii="黑体" w:hAnsi="黑体" w:eastAsia="黑体"/>
                <w:kern w:val="0"/>
                <w:szCs w:val="21"/>
              </w:rPr>
            </w:pPr>
            <w:r>
              <w:rPr>
                <w:rFonts w:hint="eastAsia" w:ascii="黑体" w:hAnsi="黑体" w:eastAsia="黑体"/>
                <w:kern w:val="0"/>
                <w:szCs w:val="21"/>
              </w:rPr>
              <w:t>2</w:t>
            </w:r>
          </w:p>
        </w:tc>
        <w:tc>
          <w:tcPr>
            <w:tcW w:w="912" w:type="dxa"/>
            <w:tcBorders>
              <w:top w:val="single" w:color="auto" w:sz="2" w:space="0"/>
              <w:left w:val="single" w:color="auto" w:sz="2" w:space="0"/>
              <w:right w:val="single" w:color="auto" w:sz="2" w:space="0"/>
            </w:tcBorders>
            <w:noWrap w:val="0"/>
            <w:vAlign w:val="center"/>
          </w:tcPr>
          <w:p>
            <w:pPr>
              <w:adjustRightInd w:val="0"/>
              <w:snapToGrid w:val="0"/>
              <w:jc w:val="center"/>
              <w:rPr>
                <w:rFonts w:ascii="黑体" w:hAnsi="黑体" w:eastAsia="黑体"/>
                <w:color w:val="000000"/>
                <w:kern w:val="0"/>
                <w:szCs w:val="21"/>
              </w:rPr>
            </w:pPr>
            <w:r>
              <w:rPr>
                <w:rFonts w:ascii="黑体" w:hAnsi="黑体" w:eastAsia="黑体"/>
                <w:color w:val="000000"/>
                <w:kern w:val="0"/>
                <w:szCs w:val="21"/>
              </w:rPr>
              <w:t>202</w:t>
            </w:r>
            <w:r>
              <w:rPr>
                <w:rFonts w:hint="eastAsia" w:ascii="黑体" w:hAnsi="黑体" w:eastAsia="黑体"/>
                <w:color w:val="000000"/>
                <w:kern w:val="0"/>
                <w:szCs w:val="21"/>
              </w:rPr>
              <w:t>4年1</w:t>
            </w:r>
            <w:r>
              <w:rPr>
                <w:rFonts w:ascii="黑体" w:hAnsi="黑体" w:eastAsia="黑体"/>
                <w:color w:val="000000"/>
                <w:kern w:val="0"/>
                <w:szCs w:val="21"/>
              </w:rPr>
              <w:t>2</w:t>
            </w:r>
            <w:r>
              <w:rPr>
                <w:rFonts w:hint="eastAsia" w:ascii="黑体" w:hAnsi="黑体" w:eastAsia="黑体"/>
                <w:color w:val="000000"/>
                <w:kern w:val="0"/>
                <w:szCs w:val="21"/>
              </w:rPr>
              <w:t>月</w:t>
            </w:r>
          </w:p>
          <w:p>
            <w:pPr>
              <w:adjustRightInd w:val="0"/>
              <w:snapToGrid w:val="0"/>
              <w:jc w:val="center"/>
              <w:rPr>
                <w:rFonts w:ascii="黑体" w:hAnsi="黑体" w:eastAsia="黑体"/>
                <w:color w:val="000000"/>
                <w:kern w:val="0"/>
                <w:szCs w:val="21"/>
              </w:rPr>
            </w:pPr>
            <w:r>
              <w:rPr>
                <w:rFonts w:ascii="黑体" w:hAnsi="黑体" w:eastAsia="黑体"/>
                <w:color w:val="000000"/>
                <w:kern w:val="0"/>
                <w:szCs w:val="21"/>
              </w:rPr>
              <w:t>-</w:t>
            </w:r>
          </w:p>
          <w:p>
            <w:pPr>
              <w:adjustRightInd w:val="0"/>
              <w:snapToGrid w:val="0"/>
              <w:jc w:val="center"/>
              <w:rPr>
                <w:rFonts w:hint="eastAsia" w:ascii="黑体" w:hAnsi="黑体" w:eastAsia="黑体"/>
                <w:color w:val="000000"/>
                <w:kern w:val="0"/>
                <w:szCs w:val="21"/>
              </w:rPr>
            </w:pPr>
            <w:r>
              <w:rPr>
                <w:rFonts w:ascii="黑体" w:hAnsi="黑体" w:eastAsia="黑体"/>
                <w:color w:val="000000"/>
                <w:kern w:val="0"/>
                <w:szCs w:val="21"/>
              </w:rPr>
              <w:t>202</w:t>
            </w:r>
            <w:r>
              <w:rPr>
                <w:rFonts w:hint="eastAsia" w:ascii="黑体" w:hAnsi="黑体" w:eastAsia="黑体"/>
                <w:color w:val="000000"/>
                <w:kern w:val="0"/>
                <w:szCs w:val="21"/>
              </w:rPr>
              <w:t>5年1月</w:t>
            </w:r>
          </w:p>
        </w:tc>
        <w:tc>
          <w:tcPr>
            <w:tcW w:w="1170" w:type="dxa"/>
            <w:tcBorders>
              <w:top w:val="single" w:color="auto" w:sz="2" w:space="0"/>
              <w:left w:val="single" w:color="auto" w:sz="2" w:space="0"/>
              <w:right w:val="single" w:color="auto" w:sz="2" w:space="0"/>
            </w:tcBorders>
            <w:noWrap w:val="0"/>
            <w:vAlign w:val="center"/>
          </w:tcPr>
          <w:p>
            <w:pPr>
              <w:adjustRightInd w:val="0"/>
              <w:snapToGrid w:val="0"/>
              <w:jc w:val="center"/>
              <w:rPr>
                <w:rFonts w:hint="eastAsia" w:ascii="黑体" w:hAnsi="黑体" w:eastAsia="黑体"/>
                <w:kern w:val="0"/>
                <w:szCs w:val="21"/>
              </w:rPr>
            </w:pPr>
            <w:r>
              <w:rPr>
                <w:rFonts w:hint="eastAsia" w:ascii="黑体" w:hAnsi="黑体" w:eastAsia="黑体"/>
                <w:kern w:val="0"/>
                <w:szCs w:val="21"/>
              </w:rPr>
              <w:t>申报</w:t>
            </w:r>
          </w:p>
        </w:tc>
        <w:tc>
          <w:tcPr>
            <w:tcW w:w="1694" w:type="dxa"/>
            <w:tcBorders>
              <w:top w:val="single" w:color="auto" w:sz="2" w:space="0"/>
              <w:left w:val="single" w:color="auto" w:sz="2" w:space="0"/>
              <w:right w:val="single" w:color="auto" w:sz="2" w:space="0"/>
            </w:tcBorders>
            <w:noWrap w:val="0"/>
            <w:vAlign w:val="center"/>
          </w:tcPr>
          <w:p>
            <w:pPr>
              <w:adjustRightInd w:val="0"/>
              <w:snapToGrid w:val="0"/>
              <w:rPr>
                <w:rFonts w:hint="eastAsia" w:ascii="黑体" w:hAnsi="黑体" w:eastAsia="黑体"/>
                <w:kern w:val="0"/>
                <w:szCs w:val="21"/>
              </w:rPr>
            </w:pPr>
            <w:r>
              <w:rPr>
                <w:rFonts w:hint="eastAsia" w:ascii="黑体" w:hAnsi="黑体" w:eastAsia="黑体"/>
                <w:kern w:val="0"/>
                <w:szCs w:val="21"/>
              </w:rPr>
              <w:t>被推荐人经所在单位审核同意后，于2024年12月5日-19日在我委网站进行报名，并提交申请材料。</w:t>
            </w:r>
          </w:p>
        </w:tc>
        <w:tc>
          <w:tcPr>
            <w:tcW w:w="4896" w:type="dxa"/>
            <w:tcBorders>
              <w:top w:val="single" w:color="auto" w:sz="2" w:space="0"/>
              <w:left w:val="single" w:color="auto" w:sz="2" w:space="0"/>
              <w:right w:val="single" w:color="auto" w:sz="18" w:space="0"/>
            </w:tcBorders>
            <w:noWrap w:val="0"/>
            <w:vAlign w:val="center"/>
          </w:tcPr>
          <w:p>
            <w:pPr>
              <w:adjustRightInd w:val="0"/>
              <w:snapToGrid w:val="0"/>
              <w:rPr>
                <w:rFonts w:hint="eastAsia" w:ascii="黑体" w:hAnsi="黑体" w:eastAsia="黑体"/>
                <w:kern w:val="0"/>
                <w:szCs w:val="21"/>
              </w:rPr>
            </w:pPr>
            <w:r>
              <w:rPr>
                <w:rFonts w:hint="eastAsia" w:ascii="黑体" w:hAnsi="黑体" w:eastAsia="黑体"/>
                <w:kern w:val="0"/>
                <w:szCs w:val="21"/>
              </w:rPr>
              <w:t>同时，申请人须于2025年1月15日前，登录匈方系统（http://www.stipendiumhungaricum.hu/）报名；无须提交匈方邀请函或录取通知书（博士研究生申请人须提交国外导师邀请信）。</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35" w:hRule="atLeast"/>
          <w:jc w:val="center"/>
        </w:trPr>
        <w:tc>
          <w:tcPr>
            <w:tcW w:w="542" w:type="dxa"/>
            <w:tcBorders>
              <w:top w:val="single" w:color="auto" w:sz="2" w:space="0"/>
              <w:left w:val="single" w:color="auto" w:sz="18" w:space="0"/>
              <w:bottom w:val="single" w:color="auto" w:sz="2" w:space="0"/>
              <w:right w:val="single" w:color="auto" w:sz="2" w:space="0"/>
            </w:tcBorders>
            <w:noWrap w:val="0"/>
            <w:vAlign w:val="center"/>
          </w:tcPr>
          <w:p>
            <w:pPr>
              <w:adjustRightInd w:val="0"/>
              <w:snapToGrid w:val="0"/>
              <w:jc w:val="center"/>
              <w:rPr>
                <w:rFonts w:hint="eastAsia" w:ascii="黑体" w:hAnsi="黑体" w:eastAsia="黑体"/>
                <w:kern w:val="0"/>
                <w:szCs w:val="21"/>
              </w:rPr>
            </w:pPr>
            <w:r>
              <w:rPr>
                <w:rFonts w:hint="eastAsia" w:ascii="黑体" w:hAnsi="黑体" w:eastAsia="黑体"/>
                <w:kern w:val="0"/>
                <w:szCs w:val="21"/>
              </w:rPr>
              <w:t>3</w:t>
            </w:r>
          </w:p>
        </w:tc>
        <w:tc>
          <w:tcPr>
            <w:tcW w:w="912"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ascii="黑体" w:hAnsi="黑体" w:eastAsia="黑体"/>
                <w:bCs/>
                <w:color w:val="000000"/>
                <w:szCs w:val="21"/>
              </w:rPr>
            </w:pPr>
            <w:r>
              <w:rPr>
                <w:rFonts w:ascii="黑体" w:hAnsi="黑体" w:eastAsia="黑体"/>
                <w:color w:val="000000"/>
                <w:kern w:val="0"/>
                <w:szCs w:val="21"/>
              </w:rPr>
              <w:t>202</w:t>
            </w:r>
            <w:r>
              <w:rPr>
                <w:rFonts w:hint="eastAsia" w:ascii="黑体" w:hAnsi="黑体" w:eastAsia="黑体"/>
                <w:color w:val="000000"/>
                <w:kern w:val="0"/>
                <w:szCs w:val="21"/>
              </w:rPr>
              <w:t>5</w:t>
            </w:r>
            <w:r>
              <w:rPr>
                <w:rFonts w:hint="eastAsia" w:ascii="黑体" w:hAnsi="黑体" w:eastAsia="黑体"/>
                <w:bCs/>
                <w:color w:val="000000"/>
                <w:szCs w:val="21"/>
              </w:rPr>
              <w:t>年</w:t>
            </w:r>
            <w:r>
              <w:rPr>
                <w:rFonts w:ascii="黑体" w:hAnsi="黑体" w:eastAsia="黑体"/>
                <w:bCs/>
                <w:color w:val="000000"/>
                <w:szCs w:val="21"/>
              </w:rPr>
              <w:t>2-6</w:t>
            </w:r>
            <w:r>
              <w:rPr>
                <w:rFonts w:hint="eastAsia" w:ascii="黑体" w:hAnsi="黑体" w:eastAsia="黑体"/>
                <w:bCs/>
                <w:color w:val="000000"/>
                <w:szCs w:val="21"/>
              </w:rPr>
              <w:t>月</w:t>
            </w:r>
          </w:p>
        </w:tc>
        <w:tc>
          <w:tcPr>
            <w:tcW w:w="1170"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jc w:val="center"/>
              <w:rPr>
                <w:rFonts w:ascii="黑体" w:hAnsi="黑体" w:eastAsia="黑体"/>
                <w:bCs/>
                <w:color w:val="000000"/>
                <w:szCs w:val="21"/>
              </w:rPr>
            </w:pPr>
            <w:r>
              <w:rPr>
                <w:rFonts w:hint="eastAsia" w:ascii="黑体" w:hAnsi="黑体" w:eastAsia="黑体"/>
                <w:bCs/>
                <w:color w:val="000000"/>
                <w:szCs w:val="21"/>
              </w:rPr>
              <w:t>评审及</w:t>
            </w:r>
          </w:p>
          <w:p>
            <w:pPr>
              <w:widowControl/>
              <w:adjustRightInd w:val="0"/>
              <w:jc w:val="center"/>
              <w:rPr>
                <w:rFonts w:ascii="黑体" w:hAnsi="黑体" w:eastAsia="黑体"/>
                <w:bCs/>
                <w:color w:val="000000"/>
                <w:szCs w:val="21"/>
              </w:rPr>
            </w:pPr>
            <w:r>
              <w:rPr>
                <w:rFonts w:ascii="黑体" w:hAnsi="黑体" w:eastAsia="黑体"/>
                <w:bCs/>
                <w:color w:val="000000"/>
                <w:szCs w:val="21"/>
              </w:rPr>
              <w:t>录取</w:t>
            </w:r>
          </w:p>
        </w:tc>
        <w:tc>
          <w:tcPr>
            <w:tcW w:w="1694" w:type="dxa"/>
            <w:tcBorders>
              <w:top w:val="single" w:color="auto" w:sz="2" w:space="0"/>
              <w:left w:val="single" w:color="auto" w:sz="2" w:space="0"/>
              <w:bottom w:val="single" w:color="auto" w:sz="2" w:space="0"/>
              <w:right w:val="single" w:color="auto" w:sz="2" w:space="0"/>
            </w:tcBorders>
            <w:noWrap w:val="0"/>
            <w:vAlign w:val="center"/>
          </w:tcPr>
          <w:p>
            <w:pPr>
              <w:widowControl/>
              <w:rPr>
                <w:rFonts w:ascii="黑体" w:hAnsi="黑体" w:eastAsia="黑体"/>
                <w:bCs/>
                <w:color w:val="000000"/>
                <w:szCs w:val="21"/>
              </w:rPr>
            </w:pPr>
            <w:r>
              <w:rPr>
                <w:rFonts w:hint="eastAsia" w:ascii="黑体" w:hAnsi="黑体" w:eastAsia="黑体"/>
                <w:bCs/>
                <w:color w:val="000000"/>
                <w:szCs w:val="21"/>
              </w:rPr>
              <w:t>国家留学基金委对申请材料进行审核，确定留学候选人。</w:t>
            </w:r>
            <w:r>
              <w:rPr>
                <w:rFonts w:hint="eastAsia" w:ascii="黑体" w:hAnsi="黑体" w:eastAsia="黑体" w:cs="宋体"/>
                <w:color w:val="000000"/>
                <w:kern w:val="0"/>
                <w:szCs w:val="21"/>
              </w:rPr>
              <w:t>留学院校由匈方负责落实。</w:t>
            </w:r>
          </w:p>
        </w:tc>
        <w:tc>
          <w:tcPr>
            <w:tcW w:w="4896" w:type="dxa"/>
            <w:tcBorders>
              <w:top w:val="single" w:color="auto" w:sz="2" w:space="0"/>
              <w:left w:val="single" w:color="auto" w:sz="2" w:space="0"/>
              <w:bottom w:val="single" w:color="auto" w:sz="2" w:space="0"/>
              <w:right w:val="single" w:color="auto" w:sz="18" w:space="0"/>
            </w:tcBorders>
            <w:noWrap w:val="0"/>
            <w:vAlign w:val="center"/>
          </w:tcPr>
          <w:p>
            <w:pPr>
              <w:widowControl/>
              <w:rPr>
                <w:rFonts w:ascii="黑体" w:hAnsi="黑体" w:eastAsia="黑体"/>
                <w:bCs/>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5" w:hRule="atLeast"/>
          <w:jc w:val="center"/>
        </w:trPr>
        <w:tc>
          <w:tcPr>
            <w:tcW w:w="542" w:type="dxa"/>
            <w:tcBorders>
              <w:top w:val="single" w:color="auto" w:sz="2" w:space="0"/>
              <w:left w:val="single" w:color="auto" w:sz="18" w:space="0"/>
              <w:bottom w:val="single" w:color="auto" w:sz="4" w:space="0"/>
              <w:right w:val="single" w:color="auto" w:sz="2" w:space="0"/>
            </w:tcBorders>
            <w:noWrap w:val="0"/>
            <w:vAlign w:val="center"/>
          </w:tcPr>
          <w:p>
            <w:pPr>
              <w:adjustRightInd w:val="0"/>
              <w:snapToGrid w:val="0"/>
              <w:jc w:val="center"/>
              <w:rPr>
                <w:rFonts w:hint="eastAsia" w:ascii="黑体" w:hAnsi="黑体" w:eastAsia="黑体"/>
                <w:kern w:val="0"/>
                <w:szCs w:val="21"/>
              </w:rPr>
            </w:pPr>
            <w:r>
              <w:rPr>
                <w:rFonts w:hint="eastAsia" w:ascii="黑体" w:hAnsi="黑体" w:eastAsia="黑体"/>
                <w:kern w:val="0"/>
                <w:szCs w:val="21"/>
              </w:rPr>
              <w:t>4</w:t>
            </w:r>
          </w:p>
        </w:tc>
        <w:tc>
          <w:tcPr>
            <w:tcW w:w="912" w:type="dxa"/>
            <w:tcBorders>
              <w:top w:val="single" w:color="auto" w:sz="2" w:space="0"/>
              <w:left w:val="single" w:color="auto" w:sz="2" w:space="0"/>
              <w:bottom w:val="single" w:color="auto" w:sz="4" w:space="0"/>
              <w:right w:val="single" w:color="auto" w:sz="2" w:space="0"/>
            </w:tcBorders>
            <w:noWrap w:val="0"/>
            <w:vAlign w:val="center"/>
          </w:tcPr>
          <w:p>
            <w:pPr>
              <w:adjustRightInd w:val="0"/>
              <w:snapToGrid w:val="0"/>
              <w:jc w:val="center"/>
              <w:rPr>
                <w:rFonts w:hint="eastAsia" w:ascii="黑体" w:hAnsi="黑体" w:eastAsia="黑体"/>
                <w:color w:val="000000"/>
                <w:kern w:val="0"/>
                <w:szCs w:val="21"/>
              </w:rPr>
            </w:pPr>
            <w:r>
              <w:rPr>
                <w:rFonts w:ascii="黑体" w:hAnsi="黑体" w:eastAsia="黑体"/>
                <w:color w:val="000000"/>
                <w:kern w:val="0"/>
                <w:szCs w:val="21"/>
              </w:rPr>
              <w:t>202</w:t>
            </w:r>
            <w:r>
              <w:rPr>
                <w:rFonts w:hint="eastAsia" w:ascii="黑体" w:hAnsi="黑体" w:eastAsia="黑体"/>
                <w:color w:val="000000"/>
                <w:kern w:val="0"/>
                <w:szCs w:val="21"/>
              </w:rPr>
              <w:t>5年7月</w:t>
            </w:r>
          </w:p>
        </w:tc>
        <w:tc>
          <w:tcPr>
            <w:tcW w:w="1170" w:type="dxa"/>
            <w:tcBorders>
              <w:top w:val="single" w:color="auto" w:sz="2" w:space="0"/>
              <w:left w:val="single" w:color="auto" w:sz="2" w:space="0"/>
              <w:bottom w:val="single" w:color="auto" w:sz="4" w:space="0"/>
              <w:right w:val="single" w:color="auto" w:sz="2" w:space="0"/>
            </w:tcBorders>
            <w:noWrap w:val="0"/>
            <w:vAlign w:val="center"/>
          </w:tcPr>
          <w:p>
            <w:pPr>
              <w:adjustRightInd w:val="0"/>
              <w:snapToGrid w:val="0"/>
              <w:jc w:val="center"/>
              <w:rPr>
                <w:rFonts w:hint="eastAsia" w:ascii="黑体" w:hAnsi="黑体" w:eastAsia="黑体"/>
                <w:kern w:val="0"/>
                <w:szCs w:val="21"/>
              </w:rPr>
            </w:pPr>
            <w:r>
              <w:rPr>
                <w:rFonts w:hint="eastAsia" w:ascii="黑体" w:hAnsi="黑体" w:eastAsia="黑体"/>
                <w:kern w:val="0"/>
                <w:szCs w:val="21"/>
              </w:rPr>
              <w:t>公布最终录取结果</w:t>
            </w:r>
          </w:p>
        </w:tc>
        <w:tc>
          <w:tcPr>
            <w:tcW w:w="1694" w:type="dxa"/>
            <w:tcBorders>
              <w:top w:val="single" w:color="auto" w:sz="2" w:space="0"/>
              <w:left w:val="single" w:color="auto" w:sz="2" w:space="0"/>
              <w:bottom w:val="single" w:color="auto" w:sz="4" w:space="0"/>
              <w:right w:val="single" w:color="auto" w:sz="2" w:space="0"/>
            </w:tcBorders>
            <w:noWrap w:val="0"/>
            <w:vAlign w:val="center"/>
          </w:tcPr>
          <w:p>
            <w:pPr>
              <w:adjustRightInd w:val="0"/>
              <w:snapToGrid w:val="0"/>
              <w:rPr>
                <w:rFonts w:hint="eastAsia" w:ascii="黑体" w:hAnsi="黑体" w:eastAsia="黑体"/>
                <w:kern w:val="0"/>
                <w:szCs w:val="21"/>
              </w:rPr>
            </w:pPr>
            <w:r>
              <w:rPr>
                <w:rFonts w:hint="eastAsia" w:ascii="黑体" w:hAnsi="黑体" w:eastAsia="黑体"/>
                <w:kern w:val="0"/>
                <w:szCs w:val="21"/>
              </w:rPr>
              <w:t>申请人向国家留学基金委提交Letter of Award和Decision of Admission。国家留学基金委根据以上两份文件发放录取材料。</w:t>
            </w:r>
          </w:p>
        </w:tc>
        <w:tc>
          <w:tcPr>
            <w:tcW w:w="4896" w:type="dxa"/>
            <w:tcBorders>
              <w:top w:val="single" w:color="auto" w:sz="2" w:space="0"/>
              <w:left w:val="single" w:color="auto" w:sz="2" w:space="0"/>
              <w:bottom w:val="single" w:color="auto" w:sz="4" w:space="0"/>
              <w:right w:val="single" w:color="auto" w:sz="18" w:space="0"/>
            </w:tcBorders>
            <w:noWrap w:val="0"/>
            <w:vAlign w:val="center"/>
          </w:tcPr>
          <w:p>
            <w:pPr>
              <w:adjustRightInd w:val="0"/>
              <w:rPr>
                <w:rFonts w:hint="eastAsia" w:ascii="黑体" w:hAnsi="黑体" w:eastAsia="黑体"/>
                <w:kern w:val="0"/>
                <w:szCs w:val="21"/>
              </w:rPr>
            </w:pPr>
            <w:r>
              <w:rPr>
                <w:rFonts w:hint="eastAsia" w:ascii="黑体" w:hAnsi="黑体" w:eastAsia="黑体"/>
                <w:kern w:val="0"/>
                <w:szCs w:val="21"/>
              </w:rPr>
              <w:t>申请人务必于7月起，尽快提交Letter of Award和Decision of Admission两份材料。凡不按照要求提交相应材料而影响录取的，由留学人员本人负责。</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35" w:hRule="atLeast"/>
          <w:jc w:val="center"/>
        </w:trPr>
        <w:tc>
          <w:tcPr>
            <w:tcW w:w="542" w:type="dxa"/>
            <w:tcBorders>
              <w:top w:val="single" w:color="auto" w:sz="4" w:space="0"/>
              <w:left w:val="single" w:color="auto" w:sz="18" w:space="0"/>
              <w:bottom w:val="single" w:color="auto" w:sz="18" w:space="0"/>
              <w:right w:val="single" w:color="auto" w:sz="2" w:space="0"/>
            </w:tcBorders>
            <w:noWrap w:val="0"/>
            <w:vAlign w:val="center"/>
          </w:tcPr>
          <w:p>
            <w:pPr>
              <w:adjustRightInd w:val="0"/>
              <w:snapToGrid w:val="0"/>
              <w:jc w:val="center"/>
              <w:rPr>
                <w:rFonts w:ascii="黑体" w:hAnsi="黑体" w:eastAsia="黑体"/>
                <w:kern w:val="0"/>
                <w:szCs w:val="21"/>
              </w:rPr>
            </w:pPr>
            <w:r>
              <w:rPr>
                <w:rFonts w:hint="eastAsia" w:ascii="黑体" w:hAnsi="黑体" w:eastAsia="黑体"/>
                <w:kern w:val="0"/>
                <w:szCs w:val="21"/>
              </w:rPr>
              <w:t>5</w:t>
            </w:r>
          </w:p>
        </w:tc>
        <w:tc>
          <w:tcPr>
            <w:tcW w:w="912" w:type="dxa"/>
            <w:tcBorders>
              <w:top w:val="single" w:color="auto" w:sz="4" w:space="0"/>
              <w:left w:val="single" w:color="auto" w:sz="2" w:space="0"/>
              <w:bottom w:val="single" w:color="auto" w:sz="18" w:space="0"/>
              <w:right w:val="single" w:color="auto" w:sz="2" w:space="0"/>
            </w:tcBorders>
            <w:noWrap w:val="0"/>
            <w:vAlign w:val="center"/>
          </w:tcPr>
          <w:p>
            <w:pPr>
              <w:adjustRightInd w:val="0"/>
              <w:snapToGrid w:val="0"/>
              <w:jc w:val="center"/>
              <w:rPr>
                <w:rFonts w:ascii="黑体" w:hAnsi="黑体" w:eastAsia="黑体"/>
                <w:kern w:val="0"/>
                <w:szCs w:val="21"/>
              </w:rPr>
            </w:pPr>
            <w:r>
              <w:rPr>
                <w:rFonts w:ascii="黑体" w:hAnsi="黑体" w:eastAsia="黑体"/>
                <w:kern w:val="0"/>
                <w:szCs w:val="21"/>
              </w:rPr>
              <w:t>202</w:t>
            </w:r>
            <w:r>
              <w:rPr>
                <w:rFonts w:hint="eastAsia" w:ascii="黑体" w:hAnsi="黑体" w:eastAsia="黑体"/>
                <w:kern w:val="0"/>
                <w:szCs w:val="21"/>
              </w:rPr>
              <w:t>5年8月-9月</w:t>
            </w:r>
          </w:p>
        </w:tc>
        <w:tc>
          <w:tcPr>
            <w:tcW w:w="1170" w:type="dxa"/>
            <w:tcBorders>
              <w:top w:val="single" w:color="auto" w:sz="4" w:space="0"/>
              <w:left w:val="single" w:color="auto" w:sz="2" w:space="0"/>
              <w:bottom w:val="single" w:color="auto" w:sz="18" w:space="0"/>
              <w:right w:val="single" w:color="auto" w:sz="2" w:space="0"/>
            </w:tcBorders>
            <w:noWrap w:val="0"/>
            <w:vAlign w:val="center"/>
          </w:tcPr>
          <w:p>
            <w:pPr>
              <w:adjustRightInd w:val="0"/>
              <w:snapToGrid w:val="0"/>
              <w:jc w:val="center"/>
              <w:rPr>
                <w:rFonts w:ascii="黑体" w:hAnsi="黑体" w:eastAsia="黑体"/>
                <w:kern w:val="0"/>
                <w:szCs w:val="21"/>
              </w:rPr>
            </w:pPr>
            <w:r>
              <w:rPr>
                <w:rFonts w:hint="eastAsia" w:ascii="黑体" w:hAnsi="黑体" w:eastAsia="黑体"/>
                <w:kern w:val="0"/>
                <w:szCs w:val="21"/>
              </w:rPr>
              <w:t>派出</w:t>
            </w:r>
          </w:p>
        </w:tc>
        <w:tc>
          <w:tcPr>
            <w:tcW w:w="1694" w:type="dxa"/>
            <w:tcBorders>
              <w:top w:val="single" w:color="auto" w:sz="4" w:space="0"/>
              <w:left w:val="single" w:color="auto" w:sz="2" w:space="0"/>
              <w:bottom w:val="single" w:color="auto" w:sz="18" w:space="0"/>
              <w:right w:val="single" w:color="auto" w:sz="2" w:space="0"/>
            </w:tcBorders>
            <w:noWrap w:val="0"/>
            <w:vAlign w:val="center"/>
          </w:tcPr>
          <w:p>
            <w:pPr>
              <w:adjustRightInd w:val="0"/>
              <w:snapToGrid w:val="0"/>
              <w:rPr>
                <w:rFonts w:ascii="黑体" w:hAnsi="黑体" w:eastAsia="黑体"/>
                <w:kern w:val="0"/>
                <w:szCs w:val="21"/>
              </w:rPr>
            </w:pPr>
            <w:r>
              <w:rPr>
                <w:rFonts w:hint="eastAsia" w:ascii="黑体" w:hAnsi="黑体" w:eastAsia="黑体"/>
                <w:kern w:val="0"/>
                <w:szCs w:val="21"/>
              </w:rPr>
              <w:t>留学人员须按规定时间派出。</w:t>
            </w:r>
          </w:p>
        </w:tc>
        <w:tc>
          <w:tcPr>
            <w:tcW w:w="4896" w:type="dxa"/>
            <w:tcBorders>
              <w:top w:val="single" w:color="auto" w:sz="4" w:space="0"/>
              <w:left w:val="single" w:color="auto" w:sz="2" w:space="0"/>
              <w:bottom w:val="single" w:color="auto" w:sz="18" w:space="0"/>
              <w:right w:val="single" w:color="auto" w:sz="18" w:space="0"/>
            </w:tcBorders>
            <w:noWrap w:val="0"/>
            <w:vAlign w:val="center"/>
          </w:tcPr>
          <w:p>
            <w:pPr>
              <w:adjustRightInd w:val="0"/>
              <w:snapToGrid w:val="0"/>
              <w:rPr>
                <w:rFonts w:hint="eastAsia" w:ascii="黑体" w:hAnsi="黑体" w:eastAsia="黑体"/>
                <w:kern w:val="0"/>
                <w:szCs w:val="21"/>
              </w:rPr>
            </w:pPr>
            <w:r>
              <w:rPr>
                <w:rFonts w:hint="eastAsia" w:ascii="黑体" w:hAnsi="黑体" w:eastAsia="黑体"/>
                <w:kern w:val="0"/>
                <w:szCs w:val="21"/>
              </w:rPr>
              <w:t>1.登录国家公派留学管理信息平台（</w:t>
            </w:r>
            <w:r>
              <w:rPr>
                <w:rFonts w:hint="eastAsia" w:ascii="黑体" w:hAnsi="仿宋" w:eastAsia="黑体"/>
                <w:kern w:val="0"/>
                <w:szCs w:val="21"/>
                <w:u w:val="single"/>
              </w:rPr>
              <w:t>https://sa.csc.edu.cn/student</w:t>
            </w:r>
            <w:r>
              <w:rPr>
                <w:rFonts w:hint="eastAsia" w:ascii="黑体" w:hAnsi="黑体" w:eastAsia="黑体"/>
                <w:kern w:val="0"/>
                <w:szCs w:val="21"/>
              </w:rPr>
              <w:t>），选择相关留学服务机构（教育部留学服务中心）。</w:t>
            </w:r>
          </w:p>
          <w:p>
            <w:pPr>
              <w:adjustRightInd w:val="0"/>
              <w:snapToGrid w:val="0"/>
              <w:rPr>
                <w:rFonts w:hint="eastAsia" w:ascii="黑体" w:hAnsi="黑体" w:eastAsia="黑体"/>
                <w:kern w:val="0"/>
                <w:szCs w:val="21"/>
              </w:rPr>
            </w:pPr>
            <w:r>
              <w:rPr>
                <w:rFonts w:hint="eastAsia" w:ascii="黑体" w:hAnsi="黑体" w:eastAsia="黑体"/>
                <w:kern w:val="0"/>
                <w:szCs w:val="21"/>
              </w:rPr>
              <w:t>2.仔细阅读《出国留学人员须知》（可从“国家留学网-出国留学-管理规定”下载）查阅派出手续具体步骤及内容。</w:t>
            </w:r>
          </w:p>
          <w:p>
            <w:pPr>
              <w:adjustRightInd w:val="0"/>
              <w:snapToGrid w:val="0"/>
              <w:rPr>
                <w:rFonts w:hint="eastAsia" w:ascii="黑体" w:hAnsi="黑体" w:eastAsia="黑体"/>
                <w:kern w:val="0"/>
                <w:szCs w:val="21"/>
              </w:rPr>
            </w:pPr>
            <w:r>
              <w:rPr>
                <w:rFonts w:hint="eastAsia" w:ascii="黑体" w:hAnsi="黑体" w:eastAsia="黑体"/>
                <w:kern w:val="0"/>
                <w:szCs w:val="21"/>
              </w:rPr>
              <w:t>3.签署并交验《国家公派出国留学协议书》，办理奖学金专用银行卡，办理《国际旅行健康证明书》，自行办理签证。</w:t>
            </w:r>
          </w:p>
          <w:p>
            <w:pPr>
              <w:adjustRightInd w:val="0"/>
              <w:snapToGrid w:val="0"/>
              <w:rPr>
                <w:rFonts w:ascii="黑体" w:hAnsi="黑体" w:eastAsia="黑体"/>
                <w:kern w:val="0"/>
                <w:szCs w:val="21"/>
              </w:rPr>
            </w:pPr>
            <w:r>
              <w:rPr>
                <w:rFonts w:hint="eastAsia" w:ascii="黑体" w:hAnsi="黑体" w:eastAsia="黑体"/>
                <w:kern w:val="0"/>
                <w:szCs w:val="21"/>
              </w:rPr>
              <w:t>4.留学人员自抵达匈牙利后10日内，凭《国家留学基金资助出国留学资格证书》及教育部留学服务中心出具的报到证明并按照中国驻匈牙利使馆要求，办理报到手续。</w:t>
            </w:r>
          </w:p>
        </w:tc>
      </w:tr>
    </w:tbl>
    <w:p>
      <w:pPr>
        <w:autoSpaceDE w:val="0"/>
        <w:autoSpaceDN w:val="0"/>
        <w:adjustRightInd w:val="0"/>
        <w:jc w:val="left"/>
        <w:rPr>
          <w:rFonts w:ascii="黑体" w:eastAsia="黑体" w:cs="黑体"/>
          <w:kern w:val="0"/>
          <w:sz w:val="28"/>
          <w:szCs w:val="28"/>
        </w:rPr>
      </w:pPr>
      <w:r>
        <w:rPr>
          <w:rFonts w:hint="eastAsia" w:ascii="黑体" w:eastAsia="黑体" w:cs="黑体"/>
          <w:kern w:val="0"/>
          <w:sz w:val="28"/>
          <w:szCs w:val="28"/>
        </w:rPr>
        <w:t>附件：</w:t>
      </w:r>
      <w:r>
        <w:rPr>
          <w:rFonts w:ascii="黑体" w:eastAsia="黑体" w:cs="黑体"/>
          <w:kern w:val="0"/>
          <w:sz w:val="28"/>
          <w:szCs w:val="28"/>
        </w:rPr>
        <w:t xml:space="preserve">1. </w:t>
      </w:r>
      <w:r>
        <w:rPr>
          <w:rFonts w:hint="eastAsia" w:ascii="黑体" w:eastAsia="黑体" w:cs="黑体"/>
          <w:kern w:val="0"/>
          <w:sz w:val="28"/>
          <w:szCs w:val="28"/>
        </w:rPr>
        <w:t>匈牙利互换奖学金申请材料及说明</w:t>
      </w:r>
    </w:p>
    <w:p>
      <w:pPr>
        <w:widowControl/>
        <w:autoSpaceDE w:val="0"/>
        <w:autoSpaceDN w:val="0"/>
        <w:adjustRightInd w:val="0"/>
        <w:ind w:firstLine="840" w:firstLineChars="300"/>
        <w:rPr>
          <w:rFonts w:hint="eastAsia" w:ascii="宋体" w:hAnsi="宋体"/>
          <w:sz w:val="28"/>
          <w:szCs w:val="28"/>
        </w:rPr>
      </w:pPr>
      <w:r>
        <w:rPr>
          <w:rFonts w:ascii="黑体" w:eastAsia="黑体" w:cs="黑体"/>
          <w:kern w:val="0"/>
          <w:sz w:val="28"/>
          <w:szCs w:val="28"/>
        </w:rPr>
        <w:t xml:space="preserve">2. </w:t>
      </w:r>
      <w:r>
        <w:rPr>
          <w:rFonts w:hint="eastAsia" w:ascii="黑体" w:eastAsia="黑体" w:cs="黑体"/>
          <w:kern w:val="0"/>
          <w:sz w:val="28"/>
          <w:szCs w:val="28"/>
        </w:rPr>
        <w:t>匈牙利互换奖学金填报对外联系材料说明</w:t>
      </w:r>
    </w:p>
    <w:sectPr>
      <w:footerReference r:id="rId3" w:type="default"/>
      <w:pgSz w:w="11906" w:h="16838"/>
      <w:pgMar w:top="1134"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cwMzUyNrK0NDc1NzJX0lEKTi0uzszPAykwrAUA/rAYKywAAAA="/>
    <w:docVar w:name="commondata" w:val="eyJoZGlkIjoiZGIyOGE4OTg3ZGExZjhiYzllNWIwOTM2YWZiZWE4N2UifQ=="/>
    <w:docVar w:name="KSO_WPS_MARK_KEY" w:val="05766ddc-f1a4-4813-b4a4-d20fea87d854"/>
  </w:docVars>
  <w:rsids>
    <w:rsidRoot w:val="00A10CB4"/>
    <w:rsid w:val="0000088C"/>
    <w:rsid w:val="00004671"/>
    <w:rsid w:val="0000472F"/>
    <w:rsid w:val="00004AC6"/>
    <w:rsid w:val="00006ED9"/>
    <w:rsid w:val="0000773C"/>
    <w:rsid w:val="00011D10"/>
    <w:rsid w:val="0002193E"/>
    <w:rsid w:val="0002522B"/>
    <w:rsid w:val="00034681"/>
    <w:rsid w:val="00055FD3"/>
    <w:rsid w:val="00061BC9"/>
    <w:rsid w:val="000633CA"/>
    <w:rsid w:val="00070895"/>
    <w:rsid w:val="00084EF9"/>
    <w:rsid w:val="00085609"/>
    <w:rsid w:val="00087125"/>
    <w:rsid w:val="000B25B1"/>
    <w:rsid w:val="000B5186"/>
    <w:rsid w:val="000B540B"/>
    <w:rsid w:val="000C324A"/>
    <w:rsid w:val="000C683F"/>
    <w:rsid w:val="000C6FF1"/>
    <w:rsid w:val="000C76F1"/>
    <w:rsid w:val="000D610F"/>
    <w:rsid w:val="000E1733"/>
    <w:rsid w:val="000E3429"/>
    <w:rsid w:val="000F095D"/>
    <w:rsid w:val="000F69B9"/>
    <w:rsid w:val="00110A3C"/>
    <w:rsid w:val="00114201"/>
    <w:rsid w:val="00124574"/>
    <w:rsid w:val="00126AAB"/>
    <w:rsid w:val="00130206"/>
    <w:rsid w:val="00143CCB"/>
    <w:rsid w:val="0014480C"/>
    <w:rsid w:val="00145DC4"/>
    <w:rsid w:val="00147460"/>
    <w:rsid w:val="00147B07"/>
    <w:rsid w:val="00152860"/>
    <w:rsid w:val="00152AB0"/>
    <w:rsid w:val="00154D45"/>
    <w:rsid w:val="00154DEA"/>
    <w:rsid w:val="0016611B"/>
    <w:rsid w:val="00177259"/>
    <w:rsid w:val="001A15C3"/>
    <w:rsid w:val="001A552D"/>
    <w:rsid w:val="001B045D"/>
    <w:rsid w:val="001C65B2"/>
    <w:rsid w:val="001D0F58"/>
    <w:rsid w:val="001D45DB"/>
    <w:rsid w:val="001D6B59"/>
    <w:rsid w:val="001D79CD"/>
    <w:rsid w:val="001E0771"/>
    <w:rsid w:val="001E1849"/>
    <w:rsid w:val="001E4C0B"/>
    <w:rsid w:val="001E737A"/>
    <w:rsid w:val="0020611F"/>
    <w:rsid w:val="0020775D"/>
    <w:rsid w:val="002157BC"/>
    <w:rsid w:val="00253DFF"/>
    <w:rsid w:val="002541F0"/>
    <w:rsid w:val="002666F3"/>
    <w:rsid w:val="00267E24"/>
    <w:rsid w:val="00267FDE"/>
    <w:rsid w:val="00270716"/>
    <w:rsid w:val="00276A1A"/>
    <w:rsid w:val="00287A8F"/>
    <w:rsid w:val="002A5045"/>
    <w:rsid w:val="002C5082"/>
    <w:rsid w:val="002C6639"/>
    <w:rsid w:val="002D3484"/>
    <w:rsid w:val="002D5A25"/>
    <w:rsid w:val="002E1D22"/>
    <w:rsid w:val="002E5703"/>
    <w:rsid w:val="002F28D8"/>
    <w:rsid w:val="002F4126"/>
    <w:rsid w:val="002F5E4D"/>
    <w:rsid w:val="002F655B"/>
    <w:rsid w:val="002F7906"/>
    <w:rsid w:val="00301E85"/>
    <w:rsid w:val="00310BAA"/>
    <w:rsid w:val="00312FCD"/>
    <w:rsid w:val="003218AD"/>
    <w:rsid w:val="00330C03"/>
    <w:rsid w:val="00335BFB"/>
    <w:rsid w:val="00340974"/>
    <w:rsid w:val="003574B0"/>
    <w:rsid w:val="00365F08"/>
    <w:rsid w:val="00384FD5"/>
    <w:rsid w:val="003A3BC3"/>
    <w:rsid w:val="003B2CE9"/>
    <w:rsid w:val="003C332B"/>
    <w:rsid w:val="003C5BA2"/>
    <w:rsid w:val="003E0C33"/>
    <w:rsid w:val="003E1F4D"/>
    <w:rsid w:val="003E38D6"/>
    <w:rsid w:val="003F5519"/>
    <w:rsid w:val="00414ACA"/>
    <w:rsid w:val="0041573E"/>
    <w:rsid w:val="004261EC"/>
    <w:rsid w:val="00431640"/>
    <w:rsid w:val="0045719A"/>
    <w:rsid w:val="0046112D"/>
    <w:rsid w:val="00466D97"/>
    <w:rsid w:val="00471703"/>
    <w:rsid w:val="00473DD2"/>
    <w:rsid w:val="00480E77"/>
    <w:rsid w:val="004A38F7"/>
    <w:rsid w:val="004C4D8F"/>
    <w:rsid w:val="004C55A9"/>
    <w:rsid w:val="004E60B2"/>
    <w:rsid w:val="004E670A"/>
    <w:rsid w:val="00501B23"/>
    <w:rsid w:val="00502F24"/>
    <w:rsid w:val="00510CEB"/>
    <w:rsid w:val="005169C3"/>
    <w:rsid w:val="005208D1"/>
    <w:rsid w:val="00523633"/>
    <w:rsid w:val="00525444"/>
    <w:rsid w:val="0053348E"/>
    <w:rsid w:val="00535D07"/>
    <w:rsid w:val="00540B88"/>
    <w:rsid w:val="0054243A"/>
    <w:rsid w:val="005452BF"/>
    <w:rsid w:val="005467BB"/>
    <w:rsid w:val="005508B8"/>
    <w:rsid w:val="0055486A"/>
    <w:rsid w:val="00560708"/>
    <w:rsid w:val="00562AC3"/>
    <w:rsid w:val="00573432"/>
    <w:rsid w:val="005827CD"/>
    <w:rsid w:val="00584FFC"/>
    <w:rsid w:val="00596432"/>
    <w:rsid w:val="005971B5"/>
    <w:rsid w:val="005A376D"/>
    <w:rsid w:val="005A4650"/>
    <w:rsid w:val="005A5685"/>
    <w:rsid w:val="005A6B02"/>
    <w:rsid w:val="005A7E80"/>
    <w:rsid w:val="005B25C6"/>
    <w:rsid w:val="005B3C7C"/>
    <w:rsid w:val="005B6EB8"/>
    <w:rsid w:val="005E10E6"/>
    <w:rsid w:val="005E643E"/>
    <w:rsid w:val="005F5EA6"/>
    <w:rsid w:val="00607C0B"/>
    <w:rsid w:val="00613C57"/>
    <w:rsid w:val="00617204"/>
    <w:rsid w:val="00626061"/>
    <w:rsid w:val="00630309"/>
    <w:rsid w:val="006366FF"/>
    <w:rsid w:val="006373E8"/>
    <w:rsid w:val="00637E0F"/>
    <w:rsid w:val="006459E8"/>
    <w:rsid w:val="006530EC"/>
    <w:rsid w:val="006562CD"/>
    <w:rsid w:val="00660273"/>
    <w:rsid w:val="00667DBF"/>
    <w:rsid w:val="0067010E"/>
    <w:rsid w:val="006770A7"/>
    <w:rsid w:val="00681FBC"/>
    <w:rsid w:val="0068207A"/>
    <w:rsid w:val="00696E62"/>
    <w:rsid w:val="006A0F14"/>
    <w:rsid w:val="006B0F3A"/>
    <w:rsid w:val="006B10F1"/>
    <w:rsid w:val="006C12A0"/>
    <w:rsid w:val="006C29B9"/>
    <w:rsid w:val="006E3CC4"/>
    <w:rsid w:val="006F584B"/>
    <w:rsid w:val="007107EC"/>
    <w:rsid w:val="00724105"/>
    <w:rsid w:val="00735935"/>
    <w:rsid w:val="007455E1"/>
    <w:rsid w:val="00747867"/>
    <w:rsid w:val="00755303"/>
    <w:rsid w:val="00757E29"/>
    <w:rsid w:val="007741AE"/>
    <w:rsid w:val="00776538"/>
    <w:rsid w:val="00782A21"/>
    <w:rsid w:val="00791B45"/>
    <w:rsid w:val="0079422F"/>
    <w:rsid w:val="007953CE"/>
    <w:rsid w:val="00797D2B"/>
    <w:rsid w:val="007A3370"/>
    <w:rsid w:val="007A33BD"/>
    <w:rsid w:val="007C412F"/>
    <w:rsid w:val="007C4C1E"/>
    <w:rsid w:val="007D2CC2"/>
    <w:rsid w:val="007D2DE5"/>
    <w:rsid w:val="007E3AAA"/>
    <w:rsid w:val="007E6C6F"/>
    <w:rsid w:val="007F13B4"/>
    <w:rsid w:val="007F4918"/>
    <w:rsid w:val="008004D3"/>
    <w:rsid w:val="008036FD"/>
    <w:rsid w:val="008060E3"/>
    <w:rsid w:val="0082121A"/>
    <w:rsid w:val="00824A89"/>
    <w:rsid w:val="0082542A"/>
    <w:rsid w:val="008349C9"/>
    <w:rsid w:val="00841765"/>
    <w:rsid w:val="00847F98"/>
    <w:rsid w:val="008516D4"/>
    <w:rsid w:val="00875E02"/>
    <w:rsid w:val="00877F5A"/>
    <w:rsid w:val="008923EE"/>
    <w:rsid w:val="008A2EA4"/>
    <w:rsid w:val="008B2815"/>
    <w:rsid w:val="008C15CA"/>
    <w:rsid w:val="008C402E"/>
    <w:rsid w:val="008C52C9"/>
    <w:rsid w:val="008C741B"/>
    <w:rsid w:val="008C7DEE"/>
    <w:rsid w:val="008D13D7"/>
    <w:rsid w:val="008D62A8"/>
    <w:rsid w:val="008E38E3"/>
    <w:rsid w:val="008E4DA1"/>
    <w:rsid w:val="008E623D"/>
    <w:rsid w:val="008E6872"/>
    <w:rsid w:val="008F7F00"/>
    <w:rsid w:val="00902795"/>
    <w:rsid w:val="00904DFE"/>
    <w:rsid w:val="00905104"/>
    <w:rsid w:val="0093443C"/>
    <w:rsid w:val="0094203E"/>
    <w:rsid w:val="00953706"/>
    <w:rsid w:val="00961605"/>
    <w:rsid w:val="00962038"/>
    <w:rsid w:val="009661DA"/>
    <w:rsid w:val="009723B8"/>
    <w:rsid w:val="00974997"/>
    <w:rsid w:val="0098304B"/>
    <w:rsid w:val="0098795A"/>
    <w:rsid w:val="00987E65"/>
    <w:rsid w:val="009A2B5A"/>
    <w:rsid w:val="009A777D"/>
    <w:rsid w:val="009C0340"/>
    <w:rsid w:val="009C2308"/>
    <w:rsid w:val="009C2653"/>
    <w:rsid w:val="009C74FD"/>
    <w:rsid w:val="009D55BF"/>
    <w:rsid w:val="009E7027"/>
    <w:rsid w:val="00A00E6E"/>
    <w:rsid w:val="00A0430D"/>
    <w:rsid w:val="00A10CB4"/>
    <w:rsid w:val="00A11ACD"/>
    <w:rsid w:val="00A15A5D"/>
    <w:rsid w:val="00A2486C"/>
    <w:rsid w:val="00A26CCA"/>
    <w:rsid w:val="00A2703F"/>
    <w:rsid w:val="00A365CB"/>
    <w:rsid w:val="00A37535"/>
    <w:rsid w:val="00A42A64"/>
    <w:rsid w:val="00A45792"/>
    <w:rsid w:val="00A471A5"/>
    <w:rsid w:val="00A51D63"/>
    <w:rsid w:val="00A55577"/>
    <w:rsid w:val="00A56B48"/>
    <w:rsid w:val="00A6036F"/>
    <w:rsid w:val="00A72330"/>
    <w:rsid w:val="00A729D1"/>
    <w:rsid w:val="00A76E2E"/>
    <w:rsid w:val="00A823C8"/>
    <w:rsid w:val="00A83EAE"/>
    <w:rsid w:val="00A87C0D"/>
    <w:rsid w:val="00A92092"/>
    <w:rsid w:val="00AA035F"/>
    <w:rsid w:val="00AA2A88"/>
    <w:rsid w:val="00AA7035"/>
    <w:rsid w:val="00AB1EB9"/>
    <w:rsid w:val="00AB311E"/>
    <w:rsid w:val="00AB38A4"/>
    <w:rsid w:val="00AC648F"/>
    <w:rsid w:val="00AC79B5"/>
    <w:rsid w:val="00AD5DA2"/>
    <w:rsid w:val="00AE31B2"/>
    <w:rsid w:val="00AF0D10"/>
    <w:rsid w:val="00AF4429"/>
    <w:rsid w:val="00B10602"/>
    <w:rsid w:val="00B24E2E"/>
    <w:rsid w:val="00B25BB8"/>
    <w:rsid w:val="00B34852"/>
    <w:rsid w:val="00B50CDE"/>
    <w:rsid w:val="00B56A5A"/>
    <w:rsid w:val="00B60E72"/>
    <w:rsid w:val="00B63415"/>
    <w:rsid w:val="00B66F68"/>
    <w:rsid w:val="00B7358C"/>
    <w:rsid w:val="00B74E77"/>
    <w:rsid w:val="00B75203"/>
    <w:rsid w:val="00B82611"/>
    <w:rsid w:val="00BA3CDC"/>
    <w:rsid w:val="00BA5EFD"/>
    <w:rsid w:val="00BA6DC9"/>
    <w:rsid w:val="00BA6EDF"/>
    <w:rsid w:val="00BB0147"/>
    <w:rsid w:val="00BC60A8"/>
    <w:rsid w:val="00BD6410"/>
    <w:rsid w:val="00BD65F5"/>
    <w:rsid w:val="00BD7423"/>
    <w:rsid w:val="00BE550D"/>
    <w:rsid w:val="00BF4CE0"/>
    <w:rsid w:val="00C00454"/>
    <w:rsid w:val="00C0111E"/>
    <w:rsid w:val="00C05F78"/>
    <w:rsid w:val="00C061AC"/>
    <w:rsid w:val="00C170E1"/>
    <w:rsid w:val="00C24791"/>
    <w:rsid w:val="00C2614F"/>
    <w:rsid w:val="00C443D0"/>
    <w:rsid w:val="00C51C2F"/>
    <w:rsid w:val="00C522AA"/>
    <w:rsid w:val="00C543E6"/>
    <w:rsid w:val="00C64CAB"/>
    <w:rsid w:val="00C713F4"/>
    <w:rsid w:val="00C76026"/>
    <w:rsid w:val="00C8416A"/>
    <w:rsid w:val="00C8797E"/>
    <w:rsid w:val="00C901A7"/>
    <w:rsid w:val="00C9192D"/>
    <w:rsid w:val="00C9193B"/>
    <w:rsid w:val="00CB114C"/>
    <w:rsid w:val="00CB5AEA"/>
    <w:rsid w:val="00CB7AA2"/>
    <w:rsid w:val="00CC3E15"/>
    <w:rsid w:val="00CC56C6"/>
    <w:rsid w:val="00CC57E7"/>
    <w:rsid w:val="00CD3935"/>
    <w:rsid w:val="00CE2E29"/>
    <w:rsid w:val="00CE3749"/>
    <w:rsid w:val="00CE4806"/>
    <w:rsid w:val="00CF3580"/>
    <w:rsid w:val="00CF6080"/>
    <w:rsid w:val="00D113BF"/>
    <w:rsid w:val="00D113EF"/>
    <w:rsid w:val="00D1410F"/>
    <w:rsid w:val="00D1752B"/>
    <w:rsid w:val="00D22B25"/>
    <w:rsid w:val="00D24541"/>
    <w:rsid w:val="00D26548"/>
    <w:rsid w:val="00D42EBD"/>
    <w:rsid w:val="00D43224"/>
    <w:rsid w:val="00D4777B"/>
    <w:rsid w:val="00D5096B"/>
    <w:rsid w:val="00D546F8"/>
    <w:rsid w:val="00D54A9A"/>
    <w:rsid w:val="00D61698"/>
    <w:rsid w:val="00D67ACF"/>
    <w:rsid w:val="00D703A1"/>
    <w:rsid w:val="00D70D41"/>
    <w:rsid w:val="00D722EB"/>
    <w:rsid w:val="00D80E66"/>
    <w:rsid w:val="00D837EF"/>
    <w:rsid w:val="00D85238"/>
    <w:rsid w:val="00D85CFF"/>
    <w:rsid w:val="00D86B9D"/>
    <w:rsid w:val="00D9079A"/>
    <w:rsid w:val="00D934E2"/>
    <w:rsid w:val="00D97B0F"/>
    <w:rsid w:val="00DB6737"/>
    <w:rsid w:val="00DB6C3E"/>
    <w:rsid w:val="00DB7119"/>
    <w:rsid w:val="00DD0509"/>
    <w:rsid w:val="00DD1360"/>
    <w:rsid w:val="00DE4730"/>
    <w:rsid w:val="00DE68E2"/>
    <w:rsid w:val="00DE7FEA"/>
    <w:rsid w:val="00DF1551"/>
    <w:rsid w:val="00DF19B8"/>
    <w:rsid w:val="00DF76C2"/>
    <w:rsid w:val="00E00EEC"/>
    <w:rsid w:val="00E06019"/>
    <w:rsid w:val="00E12266"/>
    <w:rsid w:val="00E16742"/>
    <w:rsid w:val="00E20223"/>
    <w:rsid w:val="00E21F63"/>
    <w:rsid w:val="00E2355B"/>
    <w:rsid w:val="00E31171"/>
    <w:rsid w:val="00E35383"/>
    <w:rsid w:val="00E35AFB"/>
    <w:rsid w:val="00E369EF"/>
    <w:rsid w:val="00E448D4"/>
    <w:rsid w:val="00E50382"/>
    <w:rsid w:val="00E556F2"/>
    <w:rsid w:val="00E61047"/>
    <w:rsid w:val="00E72CFE"/>
    <w:rsid w:val="00E74637"/>
    <w:rsid w:val="00E77708"/>
    <w:rsid w:val="00E80C75"/>
    <w:rsid w:val="00E8614A"/>
    <w:rsid w:val="00E95464"/>
    <w:rsid w:val="00E9568E"/>
    <w:rsid w:val="00EA3AE2"/>
    <w:rsid w:val="00EA6356"/>
    <w:rsid w:val="00EA67C7"/>
    <w:rsid w:val="00EA7A53"/>
    <w:rsid w:val="00EB4A58"/>
    <w:rsid w:val="00EB56EB"/>
    <w:rsid w:val="00ED67D5"/>
    <w:rsid w:val="00EE5A25"/>
    <w:rsid w:val="00EF30F4"/>
    <w:rsid w:val="00EF45F1"/>
    <w:rsid w:val="00F01436"/>
    <w:rsid w:val="00F07B7D"/>
    <w:rsid w:val="00F21A9D"/>
    <w:rsid w:val="00F23874"/>
    <w:rsid w:val="00F2632D"/>
    <w:rsid w:val="00F27EB7"/>
    <w:rsid w:val="00F33621"/>
    <w:rsid w:val="00F3406C"/>
    <w:rsid w:val="00F5202B"/>
    <w:rsid w:val="00F536E7"/>
    <w:rsid w:val="00F65A24"/>
    <w:rsid w:val="00F677D6"/>
    <w:rsid w:val="00F67B3D"/>
    <w:rsid w:val="00F70ADF"/>
    <w:rsid w:val="00F72326"/>
    <w:rsid w:val="00F74EB3"/>
    <w:rsid w:val="00F7579F"/>
    <w:rsid w:val="00F87F67"/>
    <w:rsid w:val="00FA6DC5"/>
    <w:rsid w:val="00FA7EDB"/>
    <w:rsid w:val="00FB2124"/>
    <w:rsid w:val="00FB502D"/>
    <w:rsid w:val="00FD105A"/>
    <w:rsid w:val="00FD3795"/>
    <w:rsid w:val="00FD72AD"/>
    <w:rsid w:val="00FE11C5"/>
    <w:rsid w:val="00FE3CEB"/>
    <w:rsid w:val="00FE3F4E"/>
    <w:rsid w:val="00FE4B7A"/>
    <w:rsid w:val="00FF30E5"/>
    <w:rsid w:val="02045E55"/>
    <w:rsid w:val="128251AD"/>
    <w:rsid w:val="129E6964"/>
    <w:rsid w:val="13981B16"/>
    <w:rsid w:val="182303E2"/>
    <w:rsid w:val="1DFA4A69"/>
    <w:rsid w:val="21B26860"/>
    <w:rsid w:val="257E5198"/>
    <w:rsid w:val="27F51216"/>
    <w:rsid w:val="2AAE4844"/>
    <w:rsid w:val="2C2330E1"/>
    <w:rsid w:val="33F5521B"/>
    <w:rsid w:val="3F3FCA67"/>
    <w:rsid w:val="490D651A"/>
    <w:rsid w:val="49C6574A"/>
    <w:rsid w:val="4A1220A3"/>
    <w:rsid w:val="4BF02B60"/>
    <w:rsid w:val="4CB2389A"/>
    <w:rsid w:val="515237BE"/>
    <w:rsid w:val="52FADA54"/>
    <w:rsid w:val="55562A4E"/>
    <w:rsid w:val="55E57783"/>
    <w:rsid w:val="5AF476CD"/>
    <w:rsid w:val="5B0051EE"/>
    <w:rsid w:val="60174E15"/>
    <w:rsid w:val="633D06AE"/>
    <w:rsid w:val="65D812BA"/>
    <w:rsid w:val="68970CF9"/>
    <w:rsid w:val="6B5F58B6"/>
    <w:rsid w:val="6B6F3966"/>
    <w:rsid w:val="6D855CA8"/>
    <w:rsid w:val="734306A8"/>
    <w:rsid w:val="771BB1B6"/>
    <w:rsid w:val="77B959F8"/>
    <w:rsid w:val="77BD1374"/>
    <w:rsid w:val="7FF68AF2"/>
    <w:rsid w:val="BFFEFE84"/>
    <w:rsid w:val="BFFF12D2"/>
    <w:rsid w:val="DBFE8653"/>
    <w:rsid w:val="DFFD5FE9"/>
    <w:rsid w:val="FB2F328C"/>
    <w:rsid w:val="FB65254F"/>
    <w:rsid w:val="FBFB10CB"/>
    <w:rsid w:val="FFEE3D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4"/>
    <w:qFormat/>
    <w:uiPriority w:val="0"/>
    <w:pPr>
      <w:spacing w:before="240" w:after="60"/>
      <w:jc w:val="center"/>
      <w:outlineLvl w:val="0"/>
    </w:pPr>
    <w:rPr>
      <w:rFonts w:ascii="Cambria" w:hAnsi="Cambria"/>
      <w:b/>
      <w:bCs/>
      <w:sz w:val="32"/>
      <w:szCs w:val="32"/>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uiPriority w:val="0"/>
    <w:rPr>
      <w:color w:val="800080"/>
      <w:u w:val="single"/>
    </w:rPr>
  </w:style>
  <w:style w:type="character" w:styleId="10">
    <w:name w:val="Hyperlink"/>
    <w:unhideWhenUsed/>
    <w:uiPriority w:val="0"/>
    <w:rPr>
      <w:color w:val="0000FF"/>
      <w:u w:val="single"/>
    </w:rPr>
  </w:style>
  <w:style w:type="character" w:customStyle="1" w:styleId="11">
    <w:name w:val="批注框文本 字符"/>
    <w:link w:val="2"/>
    <w:uiPriority w:val="0"/>
    <w:rPr>
      <w:kern w:val="2"/>
      <w:sz w:val="18"/>
      <w:szCs w:val="18"/>
    </w:rPr>
  </w:style>
  <w:style w:type="character" w:customStyle="1" w:styleId="12">
    <w:name w:val="页脚 字符"/>
    <w:link w:val="3"/>
    <w:uiPriority w:val="99"/>
    <w:rPr>
      <w:kern w:val="2"/>
      <w:sz w:val="18"/>
      <w:szCs w:val="18"/>
    </w:rPr>
  </w:style>
  <w:style w:type="character" w:customStyle="1" w:styleId="13">
    <w:name w:val="页眉 字符"/>
    <w:link w:val="4"/>
    <w:uiPriority w:val="0"/>
    <w:rPr>
      <w:kern w:val="2"/>
      <w:sz w:val="18"/>
      <w:szCs w:val="18"/>
    </w:rPr>
  </w:style>
  <w:style w:type="character" w:customStyle="1" w:styleId="14">
    <w:name w:val="标题 字符"/>
    <w:link w:val="5"/>
    <w:uiPriority w:val="0"/>
    <w:rPr>
      <w:rFonts w:ascii="Cambria" w:hAnsi="Cambria"/>
      <w:b/>
      <w:bCs/>
      <w:kern w:val="2"/>
      <w:sz w:val="32"/>
      <w:szCs w:val="32"/>
    </w:rPr>
  </w:style>
  <w:style w:type="paragraph" w:customStyle="1" w:styleId="15">
    <w:name w:val="Default"/>
    <w:uiPriority w:val="0"/>
    <w:pPr>
      <w:widowControl w:val="0"/>
      <w:autoSpaceDE w:val="0"/>
      <w:autoSpaceDN w:val="0"/>
      <w:adjustRightInd w:val="0"/>
    </w:pPr>
    <w:rPr>
      <w:rFonts w:ascii="Calibri" w:hAnsi="Calibri"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信念技术论坛</Company>
  <Pages>4</Pages>
  <Words>573</Words>
  <Characters>3268</Characters>
  <Lines>27</Lines>
  <Paragraphs>7</Paragraphs>
  <TotalTime>0</TotalTime>
  <ScaleCrop>false</ScaleCrop>
  <LinksUpToDate>false</LinksUpToDate>
  <CharactersWithSpaces>3834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2017-12-02T01:54:00Z</dcterms:created>
  <dc:creator>微软用户</dc:creator>
  <cp:lastModifiedBy>大虎Jamie</cp:lastModifiedBy>
  <cp:lastPrinted>2024-11-20T22:31:00Z</cp:lastPrinted>
  <dcterms:modified xsi:type="dcterms:W3CDTF">2024-12-13T03:11:33Z</dcterms:modified>
  <dc:title>一、选派类别、留学期限、留学专业及选拔对象</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2ABBCC858CAA4340A380B001E6F72A88_13</vt:lpwstr>
  </property>
</Properties>
</file>