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firstLine="0" w:firstLineChars="0"/>
        <w:rPr>
          <w:rFonts w:hint="eastAsia" w:ascii="黑体" w:hAnsi="黑体" w:eastAsia="黑体" w:cs="黑体"/>
          <w:b w:val="0"/>
          <w:bCs/>
          <w:kern w:val="44"/>
          <w:sz w:val="32"/>
          <w:szCs w:val="32"/>
          <w:lang w:val="en-US" w:eastAsia="zh-CN" w:bidi="ar-SA"/>
        </w:rPr>
      </w:pPr>
      <w:bookmarkStart w:id="0" w:name="_Toc175250258"/>
      <w:r>
        <w:rPr>
          <w:rFonts w:hint="eastAsia" w:ascii="黑体" w:hAnsi="黑体" w:eastAsia="黑体" w:cs="黑体"/>
          <w:b w:val="0"/>
          <w:bCs/>
          <w:kern w:val="44"/>
          <w:sz w:val="32"/>
          <w:szCs w:val="32"/>
          <w:lang w:val="en-US" w:eastAsia="zh-CN" w:bidi="ar-SA"/>
        </w:rPr>
        <w:t>附件1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kern w:val="44"/>
          <w:sz w:val="36"/>
          <w:szCs w:val="36"/>
          <w:lang w:val="en-US" w:eastAsia="zh-CN" w:bidi="ar-SA"/>
        </w:rPr>
        <w:t>广西外国语学院重新学习缴费指南</w:t>
      </w:r>
    </w:p>
    <w:p>
      <w:pPr>
        <w:pStyle w:val="2"/>
        <w:numPr>
          <w:ilvl w:val="0"/>
          <w:numId w:val="0"/>
        </w:numPr>
        <w:ind w:firstLine="0" w:firstLineChars="0"/>
        <w:rPr>
          <w:rFonts w:hint="eastAsia" w:eastAsia="黑体" w:asciiTheme="minorHAnsi" w:hAnsiTheme="minorHAnsi" w:cstheme="minorBidi"/>
          <w:b/>
          <w:kern w:val="44"/>
          <w:sz w:val="28"/>
          <w:szCs w:val="24"/>
          <w:lang w:val="en-US" w:eastAsia="zh-CN" w:bidi="ar-SA"/>
        </w:rPr>
      </w:pPr>
    </w:p>
    <w:p>
      <w:pPr>
        <w:pStyle w:val="2"/>
        <w:numPr>
          <w:ilvl w:val="0"/>
          <w:numId w:val="0"/>
        </w:numPr>
        <w:ind w:firstLine="0" w:firstLineChars="0"/>
      </w:pPr>
      <w:r>
        <w:rPr>
          <w:rFonts w:hint="eastAsia" w:eastAsia="黑体" w:asciiTheme="minorHAnsi" w:hAnsiTheme="minorHAnsi" w:cstheme="minorBidi"/>
          <w:b/>
          <w:kern w:val="44"/>
          <w:sz w:val="28"/>
          <w:szCs w:val="24"/>
          <w:lang w:val="en-US" w:eastAsia="zh-CN" w:bidi="ar-SA"/>
        </w:rPr>
        <w:t>一、</w:t>
      </w:r>
      <w:r>
        <w:rPr>
          <w:rFonts w:hint="eastAsia"/>
        </w:rPr>
        <w:t>登录</w:t>
      </w:r>
      <w:bookmarkEnd w:id="0"/>
    </w:p>
    <w:p>
      <w:pPr>
        <w:ind w:firstLine="480"/>
      </w:pPr>
      <w:r>
        <w:t>登录帐号：工号/学号，初始密码：</w:t>
      </w:r>
      <w:r>
        <w:rPr>
          <w:rFonts w:hint="eastAsia"/>
        </w:rPr>
        <w:t>Gxwgy@123</w:t>
      </w:r>
      <w:r>
        <w:t>（</w:t>
      </w:r>
      <w:r>
        <w:rPr>
          <w:rFonts w:hint="eastAsia"/>
        </w:rPr>
        <w:t>密码与统一应用中心【广外小镇】相通，若在统一应用中心上登录且修改过密码，则使用新密码</w:t>
      </w:r>
      <w:r>
        <w:t>）</w:t>
      </w:r>
    </w:p>
    <w:p>
      <w:pPr>
        <w:pStyle w:val="3"/>
        <w:numPr>
          <w:ilvl w:val="0"/>
          <w:numId w:val="1"/>
        </w:numPr>
        <w:spacing w:line="240" w:lineRule="auto"/>
        <w:ind w:firstLine="0"/>
      </w:pPr>
      <w:bookmarkStart w:id="1" w:name="_Toc175250259"/>
      <w:r>
        <w:rPr>
          <w:rFonts w:hint="eastAsia"/>
        </w:rPr>
        <w:t>移动端</w:t>
      </w:r>
      <w:bookmarkEnd w:id="1"/>
    </w:p>
    <w:p>
      <w:pPr>
        <w:numPr>
          <w:ilvl w:val="0"/>
          <w:numId w:val="0"/>
        </w:numPr>
        <w:ind w:left="440" w:leftChars="0" w:firstLine="480" w:firstLineChars="20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①　</w:t>
      </w:r>
      <w:r>
        <w:rPr>
          <w:rFonts w:hint="eastAsia"/>
        </w:rPr>
        <w:t>使用</w:t>
      </w:r>
      <w:r>
        <w:t>微信</w:t>
      </w:r>
      <w:r>
        <w:rPr>
          <w:rFonts w:hint="eastAsia"/>
        </w:rPr>
        <w:t>扫一扫，扫描下方二维码进入微信小程序登录界面。</w:t>
      </w:r>
    </w:p>
    <w:p>
      <w:pPr>
        <w:ind w:left="480" w:firstLine="0" w:firstLineChars="0"/>
        <w:jc w:val="center"/>
      </w:pPr>
      <w:r>
        <w:rPr>
          <w:rFonts w:hint="eastAsia"/>
        </w:rPr>
        <w:drawing>
          <wp:inline distT="0" distB="0" distL="0" distR="0">
            <wp:extent cx="2210435" cy="2210435"/>
            <wp:effectExtent l="0" t="0" r="14605" b="14605"/>
            <wp:docPr id="58352584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525840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30" cy="222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80" w:firstLine="0" w:firstLineChars="0"/>
        <w:jc w:val="center"/>
      </w:pPr>
      <w:r>
        <w:rPr>
          <w:rFonts w:hint="eastAsia"/>
        </w:rPr>
        <w:drawing>
          <wp:inline distT="0" distB="0" distL="0" distR="0">
            <wp:extent cx="1445260" cy="3131820"/>
            <wp:effectExtent l="0" t="0" r="2540" b="7620"/>
            <wp:docPr id="129583355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833550" name="图片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4026" cy="321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</w:t>
      </w:r>
      <w:r>
        <w:rPr>
          <w:rFonts w:hint="eastAsia"/>
        </w:rPr>
        <w:drawing>
          <wp:inline distT="0" distB="0" distL="0" distR="0">
            <wp:extent cx="1583690" cy="3427095"/>
            <wp:effectExtent l="0" t="0" r="1270" b="1905"/>
            <wp:docPr id="71978785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787855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342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</w:p>
    <w:p>
      <w:pPr>
        <w:pStyle w:val="3"/>
        <w:numPr>
          <w:ilvl w:val="0"/>
          <w:numId w:val="1"/>
        </w:numPr>
        <w:spacing w:line="240" w:lineRule="auto"/>
        <w:ind w:left="420" w:firstLine="0"/>
      </w:pPr>
      <w:bookmarkStart w:id="2" w:name="_Toc175250260"/>
      <w:r>
        <w:rPr>
          <w:rFonts w:hint="eastAsia"/>
        </w:rPr>
        <w:t>电脑端</w:t>
      </w:r>
      <w:bookmarkEnd w:id="2"/>
    </w:p>
    <w:p>
      <w:pPr>
        <w:pStyle w:val="8"/>
        <w:ind w:left="420" w:firstLineChars="0"/>
      </w:pPr>
      <w:r>
        <w:rPr>
          <w:rFonts w:hint="eastAsia"/>
        </w:rPr>
        <w:t>电脑浏览器输入</w:t>
      </w:r>
      <w:r>
        <w:fldChar w:fldCharType="begin"/>
      </w:r>
      <w:r>
        <w:instrText xml:space="preserve"> HYPERLINK "https://ipay.gxufl.com/" </w:instrText>
      </w:r>
      <w:r>
        <w:fldChar w:fldCharType="separate"/>
      </w:r>
      <w:r>
        <w:rPr>
          <w:rStyle w:val="7"/>
        </w:rPr>
        <w:t>https://ipay.gxufl.com/</w:t>
      </w:r>
      <w:r>
        <w:rPr>
          <w:rStyle w:val="7"/>
        </w:rPr>
        <w:fldChar w:fldCharType="end"/>
      </w:r>
      <w:r>
        <w:rPr>
          <w:rFonts w:hint="eastAsia"/>
        </w:rPr>
        <w:t xml:space="preserve"> 即可跳转到系统网页版登录界面。</w:t>
      </w:r>
    </w:p>
    <w:p>
      <w:pPr>
        <w:widowControl/>
        <w:spacing w:line="240" w:lineRule="auto"/>
        <w:ind w:firstLine="0" w:firstLineChars="0"/>
        <w:jc w:val="left"/>
        <w:rPr>
          <w:b/>
          <w:bCs/>
        </w:rPr>
      </w:pPr>
      <w:r>
        <w:drawing>
          <wp:inline distT="0" distB="0" distL="0" distR="0">
            <wp:extent cx="5668645" cy="4487545"/>
            <wp:effectExtent l="0" t="0" r="635" b="8255"/>
            <wp:docPr id="264534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53467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rcRect l="29196" r="28762" b="33010"/>
                    <a:stretch>
                      <a:fillRect/>
                    </a:stretch>
                  </pic:blipFill>
                  <pic:spPr>
                    <a:xfrm>
                      <a:off x="0" y="0"/>
                      <a:ext cx="5668645" cy="448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br w:type="page"/>
      </w:r>
    </w:p>
    <w:p>
      <w:pPr>
        <w:pStyle w:val="2"/>
        <w:numPr>
          <w:ilvl w:val="0"/>
          <w:numId w:val="0"/>
        </w:numPr>
        <w:ind w:firstLine="0" w:firstLineChars="0"/>
      </w:pPr>
      <w:bookmarkStart w:id="3" w:name="_Toc175250261"/>
      <w:r>
        <w:rPr>
          <w:rFonts w:hint="eastAsia" w:eastAsia="黑体" w:asciiTheme="minorHAnsi" w:hAnsiTheme="minorHAnsi" w:cstheme="minorBidi"/>
          <w:b/>
          <w:kern w:val="44"/>
          <w:sz w:val="28"/>
          <w:szCs w:val="24"/>
          <w:lang w:val="en-US" w:eastAsia="zh-CN" w:bidi="ar-SA"/>
        </w:rPr>
        <w:t>二、</w:t>
      </w:r>
      <w:r>
        <w:rPr>
          <w:rFonts w:hint="eastAsia"/>
        </w:rPr>
        <w:t>缴费流程</w:t>
      </w:r>
      <w:bookmarkEnd w:id="3"/>
    </w:p>
    <w:p>
      <w:pPr>
        <w:pStyle w:val="3"/>
        <w:numPr>
          <w:ilvl w:val="0"/>
          <w:numId w:val="2"/>
        </w:numPr>
        <w:spacing w:line="240" w:lineRule="auto"/>
        <w:ind w:firstLine="0"/>
      </w:pPr>
      <w:bookmarkStart w:id="4" w:name="_Toc175250262"/>
      <w:r>
        <w:rPr>
          <w:rFonts w:hint="eastAsia"/>
        </w:rPr>
        <w:t>学费或其他类型账单缴费</w:t>
      </w:r>
      <w:bookmarkEnd w:id="4"/>
    </w:p>
    <w:p>
      <w:pPr>
        <w:pStyle w:val="8"/>
        <w:numPr>
          <w:ilvl w:val="0"/>
          <w:numId w:val="0"/>
        </w:numPr>
        <w:ind w:left="284" w:leftChars="0" w:hanging="440" w:firstLineChars="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①　</w:t>
      </w:r>
      <w:r>
        <w:rPr>
          <w:rFonts w:hint="eastAsia"/>
        </w:rPr>
        <w:t>登录后，便可查看已交\未交的账单：</w:t>
      </w:r>
    </w:p>
    <w:p>
      <w:pPr>
        <w:pStyle w:val="8"/>
        <w:ind w:left="440" w:firstLine="0" w:firstLineChars="0"/>
        <w:jc w:val="center"/>
      </w:pPr>
      <w:r>
        <w:drawing>
          <wp:inline distT="0" distB="0" distL="0" distR="0">
            <wp:extent cx="1540510" cy="3336290"/>
            <wp:effectExtent l="0" t="0" r="13970" b="1270"/>
            <wp:docPr id="821444776" name="图片 2" descr="C:/Users/GUFL/Desktop/e2ba0d5f987a33d2659f1cca1648967.jpge2ba0d5f987a33d2659f1cca1648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444776" name="图片 2" descr="C:/Users/GUFL/Desktop/e2ba0d5f987a33d2659f1cca1648967.jpge2ba0d5f987a33d2659f1cca164896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41" b="41"/>
                    <a:stretch>
                      <a:fillRect/>
                    </a:stretch>
                  </pic:blipFill>
                  <pic:spPr>
                    <a:xfrm>
                      <a:off x="0" y="0"/>
                      <a:ext cx="1540510" cy="3359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0"/>
        </w:numPr>
        <w:ind w:left="142" w:leftChars="0" w:hanging="284" w:firstLineChars="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②　</w:t>
      </w:r>
      <w:r>
        <w:rPr>
          <w:rFonts w:hint="eastAsia"/>
        </w:rPr>
        <w:t>选择要缴纳的账单，点击进入查看账单详情，点击“去支付”进入账单操作界面。</w:t>
      </w:r>
    </w:p>
    <w:p>
      <w:pPr>
        <w:ind w:firstLine="0" w:firstLineChars="0"/>
        <w:jc w:val="center"/>
      </w:pPr>
      <w:r>
        <w:drawing>
          <wp:inline distT="0" distB="0" distL="0" distR="0">
            <wp:extent cx="1540510" cy="3336925"/>
            <wp:effectExtent l="0" t="0" r="13970" b="635"/>
            <wp:docPr id="140940977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409777" name="图片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0928" cy="33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240" w:lineRule="auto"/>
        <w:ind w:firstLine="0" w:firstLineChars="0"/>
        <w:jc w:val="left"/>
      </w:pPr>
      <w:r>
        <w:br w:type="page"/>
      </w:r>
    </w:p>
    <w:p>
      <w:pPr>
        <w:pStyle w:val="8"/>
        <w:numPr>
          <w:ilvl w:val="0"/>
          <w:numId w:val="0"/>
        </w:numPr>
        <w:ind w:left="284" w:leftChars="0" w:hanging="440" w:firstLineChars="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③　</w:t>
      </w:r>
      <w:r>
        <w:rPr>
          <w:rFonts w:hint="eastAsia"/>
        </w:rPr>
        <w:t>选择支付方法，系统支持“按金额”与“按收费项”两种支付方法。</w:t>
      </w:r>
    </w:p>
    <w:p>
      <w:pPr>
        <w:pStyle w:val="8"/>
        <w:numPr>
          <w:ilvl w:val="0"/>
          <w:numId w:val="0"/>
        </w:numPr>
        <w:ind w:left="-2" w:leftChars="-1" w:firstLine="141" w:firstLineChars="59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/>
        </w:rPr>
        <w:t>“按金额”支付：可将账单拆分成多次支付，通过修改本次支付金额数即可。金额对应收款项的扣款顺序：账单项从前往后，排第一位的收费项优先。</w:t>
      </w:r>
    </w:p>
    <w:p>
      <w:pPr>
        <w:ind w:left="284" w:firstLine="0" w:firstLineChars="0"/>
      </w:pPr>
    </w:p>
    <w:p>
      <w:pPr>
        <w:ind w:firstLine="0" w:firstLineChars="0"/>
        <w:jc w:val="center"/>
      </w:pPr>
      <w:r>
        <w:drawing>
          <wp:inline distT="0" distB="0" distL="0" distR="0">
            <wp:extent cx="1445895" cy="3131820"/>
            <wp:effectExtent l="0" t="0" r="1905" b="7620"/>
            <wp:docPr id="65298679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986793" name="图片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6177" cy="31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drawing>
          <wp:inline distT="0" distB="0" distL="0" distR="0">
            <wp:extent cx="1445895" cy="3131820"/>
            <wp:effectExtent l="0" t="0" r="1905" b="7620"/>
            <wp:docPr id="40471533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715334" name="图片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6177" cy="31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drawing>
          <wp:inline distT="0" distB="0" distL="0" distR="0">
            <wp:extent cx="1445260" cy="3131820"/>
            <wp:effectExtent l="0" t="0" r="2540" b="7620"/>
            <wp:docPr id="21351189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118950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5504" cy="31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0" w:firstLineChars="0"/>
        <w:jc w:val="center"/>
      </w:pPr>
    </w:p>
    <w:p>
      <w:pPr>
        <w:pStyle w:val="8"/>
        <w:numPr>
          <w:ilvl w:val="0"/>
          <w:numId w:val="0"/>
        </w:numPr>
        <w:ind w:left="724" w:leftChars="0" w:hanging="440" w:firstLineChars="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/>
        </w:rPr>
        <w:t>“按收费项”支付：点击“选择收费项”，可组合选择想缴纳的账单收费项。</w:t>
      </w:r>
    </w:p>
    <w:p>
      <w:pPr>
        <w:pStyle w:val="8"/>
        <w:ind w:left="724" w:firstLine="0" w:firstLineChars="0"/>
        <w:jc w:val="center"/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</w:pPr>
      <w:bookmarkStart w:id="5" w:name="_GoBack"/>
      <w:r>
        <w:drawing>
          <wp:inline distT="0" distB="0" distL="0" distR="0">
            <wp:extent cx="1666875" cy="3611245"/>
            <wp:effectExtent l="0" t="0" r="9525" b="635"/>
            <wp:docPr id="137040234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402340" name="图片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361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  <w:r>
        <w:rPr>
          <w:rFonts w:hint="eastAsia"/>
        </w:rPr>
        <w:t xml:space="preserve">      </w:t>
      </w:r>
      <w:r>
        <w:drawing>
          <wp:inline distT="0" distB="0" distL="0" distR="0">
            <wp:extent cx="1445895" cy="3131820"/>
            <wp:effectExtent l="0" t="0" r="1905" b="7620"/>
            <wp:docPr id="87329466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294661" name="图片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6177" cy="31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0"/>
        </w:numPr>
        <w:ind w:left="916" w:leftChars="23" w:hanging="861" w:hangingChars="359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④　</w:t>
      </w:r>
      <w:r>
        <w:rPr>
          <w:rFonts w:hint="eastAsia"/>
        </w:rPr>
        <w:t>将需要支付的账单项选择好后，最后一步设置支付方式：</w:t>
      </w:r>
      <w:r>
        <w:t xml:space="preserve"> </w:t>
      </w:r>
    </w:p>
    <w:p>
      <w:pPr>
        <w:pStyle w:val="8"/>
        <w:ind w:left="920" w:firstLine="0" w:firstLineChars="0"/>
        <w:jc w:val="center"/>
      </w:pPr>
      <w:r>
        <w:drawing>
          <wp:inline distT="0" distB="0" distL="0" distR="0">
            <wp:extent cx="1445895" cy="3131820"/>
            <wp:effectExtent l="0" t="0" r="1905" b="7620"/>
            <wp:docPr id="89181867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818672" name="图片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6177" cy="31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0"/>
        </w:numPr>
        <w:ind w:left="724" w:leftChars="0" w:hanging="866" w:firstLineChars="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/>
        </w:rPr>
        <w:t>“微信支付”：即使用您的微信账号进行支付，选择该支付方式后，点击“去支付”即可跳转到微信支付页面。</w:t>
      </w:r>
    </w:p>
    <w:p>
      <w:pPr>
        <w:pStyle w:val="8"/>
        <w:numPr>
          <w:ilvl w:val="0"/>
          <w:numId w:val="0"/>
        </w:numPr>
        <w:ind w:left="724" w:leftChars="0" w:hanging="866" w:firstLineChars="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/>
        </w:rPr>
        <w:t>“微信扫码支付”：生成订单付款码，可分享该付款码给亲友扫码支付。</w:t>
      </w:r>
      <w:r>
        <w:t xml:space="preserve"> </w:t>
      </w:r>
    </w:p>
    <w:p>
      <w:pPr>
        <w:widowControl/>
        <w:spacing w:line="240" w:lineRule="auto"/>
        <w:ind w:firstLine="0" w:firstLineChars="0"/>
        <w:jc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2341880</wp:posOffset>
            </wp:positionH>
            <wp:positionV relativeFrom="page">
              <wp:posOffset>5454650</wp:posOffset>
            </wp:positionV>
            <wp:extent cx="600710" cy="600710"/>
            <wp:effectExtent l="0" t="0" r="8890" b="8890"/>
            <wp:wrapNone/>
            <wp:docPr id="183744127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441271" name="图片 16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501" cy="6005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1757680" cy="3808095"/>
            <wp:effectExtent l="0" t="0" r="10160" b="1905"/>
            <wp:docPr id="7983786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378643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380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803" w:right="1440" w:bottom="1803" w:left="144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80"/>
      </w:pPr>
      <w:r>
        <w:separator/>
      </w:r>
    </w:p>
  </w:footnote>
  <w:footnote w:type="continuationSeparator" w:id="1">
    <w:p>
      <w:pPr>
        <w:spacing w:line="30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E3C931"/>
    <w:multiLevelType w:val="singleLevel"/>
    <w:tmpl w:val="B4E3C931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706F6CCB"/>
    <w:multiLevelType w:val="singleLevel"/>
    <w:tmpl w:val="706F6CCB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zNjBjN2I2NWEzMTU1ZDI0N2M4NTMyNDhiMmMwN2EifQ=="/>
  </w:docVars>
  <w:rsids>
    <w:rsidRoot w:val="0E0F3DBD"/>
    <w:rsid w:val="0E0F3DBD"/>
    <w:rsid w:val="45371111"/>
    <w:rsid w:val="66BE0EF7"/>
    <w:rsid w:val="77010E61"/>
    <w:rsid w:val="78A74E62"/>
    <w:rsid w:val="7911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firstLine="1446" w:firstLineChars="200"/>
      <w:jc w:val="both"/>
    </w:pPr>
    <w:rPr>
      <w:rFonts w:eastAsia="仿宋_GB2312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ind w:firstLine="0" w:firstLineChars="0"/>
      <w:outlineLvl w:val="1"/>
    </w:pPr>
    <w:rPr>
      <w:rFonts w:ascii="Arial" w:hAnsi="Arial" w:eastAsia="黑体"/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Hyperlink"/>
    <w:basedOn w:val="6"/>
    <w:qFormat/>
    <w:uiPriority w:val="99"/>
    <w:rPr>
      <w:color w:val="0000FF"/>
      <w:u w:val="single"/>
    </w:rPr>
  </w:style>
  <w:style w:type="paragraph" w:styleId="8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462</Words>
  <Characters>492</Characters>
  <Lines>0</Lines>
  <Paragraphs>0</Paragraphs>
  <TotalTime>7</TotalTime>
  <ScaleCrop>false</ScaleCrop>
  <LinksUpToDate>false</LinksUpToDate>
  <CharactersWithSpaces>522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2024-09-25T12:17:00Z</dcterms:created>
  <dc:creator>虫子</dc:creator>
  <cp:lastModifiedBy>船长</cp:lastModifiedBy>
  <dcterms:modified xsi:type="dcterms:W3CDTF">2025-03-17T06:50:08Z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144A2891950C40829E5313ECF2951155</vt:lpwstr>
  </property>
  <property fmtid="{D5CDD505-2E9C-101B-9397-08002B2CF9AE}" pid="4" name="KSOTemplateDocerSaveRecord">
    <vt:lpwstr>eyJoZGlkIjoiYmNhNWVjZmVhYWY4MzBhZjQ0ZDE4Njg5YTgwZTNmZDgiLCJ1c2VySWQiOiI3MDYzNjcwODUifQ==</vt:lpwstr>
  </property>
</Properties>
</file>